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9FFD" w14:textId="77777777" w:rsidR="00D721E9" w:rsidRPr="005D5ADF" w:rsidRDefault="00AF321A" w:rsidP="005A2184">
      <w:pPr>
        <w:pStyle w:val="REG-H1a"/>
      </w:pPr>
      <w:r w:rsidRPr="005D5ADF">
        <w:rPr>
          <w:lang w:eastAsia="en-US"/>
        </w:rPr>
        <w:drawing>
          <wp:anchor distT="0" distB="0" distL="114300" distR="114300" simplePos="0" relativeHeight="251658240" behindDoc="0" locked="1" layoutInCell="0" allowOverlap="0" wp14:anchorId="589B708E" wp14:editId="5E39E5F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34B0364" w14:textId="77777777" w:rsidR="00DE361C" w:rsidRPr="00837863" w:rsidRDefault="00DE361C" w:rsidP="00DE361C">
      <w:pPr>
        <w:pStyle w:val="REG-H1d"/>
        <w:rPr>
          <w:lang w:val="en-GB"/>
        </w:rPr>
      </w:pPr>
      <w:r w:rsidRPr="00837863">
        <w:rPr>
          <w:lang w:val="en-GB"/>
        </w:rPr>
        <w:t xml:space="preserve">REGULATIONS </w:t>
      </w:r>
      <w:r>
        <w:rPr>
          <w:lang w:val="en-GB"/>
        </w:rPr>
        <w:t xml:space="preserve">SURVIVING </w:t>
      </w:r>
      <w:r w:rsidRPr="00837863">
        <w:rPr>
          <w:lang w:val="en-GB"/>
        </w:rPr>
        <w:t>IN TERMS OF</w:t>
      </w:r>
    </w:p>
    <w:p w14:paraId="1FCE01DA" w14:textId="77777777" w:rsidR="00DE361C" w:rsidRPr="00837863" w:rsidRDefault="00DE361C" w:rsidP="00DE361C">
      <w:pPr>
        <w:pStyle w:val="REG-H1d"/>
        <w:rPr>
          <w:lang w:val="en-GB"/>
        </w:rPr>
      </w:pPr>
    </w:p>
    <w:p w14:paraId="3D29B8AD" w14:textId="77777777" w:rsidR="00DE361C" w:rsidRPr="00837863" w:rsidRDefault="00DE361C" w:rsidP="00DE361C">
      <w:pPr>
        <w:pStyle w:val="REG-H1a"/>
      </w:pPr>
      <w:bookmarkStart w:id="0" w:name="_Hlk194069855"/>
      <w:r w:rsidRPr="00837863">
        <w:t xml:space="preserve">Health Professions Act </w:t>
      </w:r>
      <w:r>
        <w:t>16</w:t>
      </w:r>
      <w:r w:rsidRPr="00837863">
        <w:t xml:space="preserve"> of 20</w:t>
      </w:r>
      <w:r>
        <w:t>2</w:t>
      </w:r>
      <w:r w:rsidRPr="00837863">
        <w:t>4</w:t>
      </w:r>
      <w:bookmarkEnd w:id="0"/>
    </w:p>
    <w:p w14:paraId="193719D7" w14:textId="049E8C55" w:rsidR="00BD2B69" w:rsidRPr="005D5ADF" w:rsidRDefault="00DE361C" w:rsidP="00DE361C">
      <w:pPr>
        <w:pStyle w:val="REG-H1b"/>
        <w:rPr>
          <w:b w:val="0"/>
        </w:rPr>
      </w:pPr>
      <w:r w:rsidRPr="00837863">
        <w:rPr>
          <w:b w:val="0"/>
        </w:rPr>
        <w:t xml:space="preserve">section </w:t>
      </w:r>
      <w:r>
        <w:rPr>
          <w:b w:val="0"/>
        </w:rPr>
        <w:t>9</w:t>
      </w:r>
      <w:r w:rsidRPr="00837863">
        <w:rPr>
          <w:b w:val="0"/>
        </w:rPr>
        <w:t>5</w:t>
      </w:r>
      <w:r>
        <w:rPr>
          <w:b w:val="0"/>
        </w:rPr>
        <w:t>(10)</w:t>
      </w:r>
    </w:p>
    <w:p w14:paraId="71E70DB1" w14:textId="77777777" w:rsidR="00E2335D" w:rsidRPr="005D5ADF" w:rsidRDefault="00E2335D" w:rsidP="005A2184">
      <w:pPr>
        <w:pStyle w:val="REG-H1a"/>
        <w:pBdr>
          <w:bottom w:val="single" w:sz="4" w:space="1" w:color="auto"/>
        </w:pBdr>
      </w:pPr>
    </w:p>
    <w:p w14:paraId="48052F2B" w14:textId="77777777" w:rsidR="00E2335D" w:rsidRPr="005D5ADF" w:rsidRDefault="00E2335D" w:rsidP="005A2184">
      <w:pPr>
        <w:pStyle w:val="REG-H1a"/>
      </w:pPr>
    </w:p>
    <w:p w14:paraId="09EF65CF" w14:textId="77777777" w:rsidR="00E2335D" w:rsidRPr="005D5ADF" w:rsidRDefault="00973085" w:rsidP="005A2184">
      <w:pPr>
        <w:pStyle w:val="REG-H1b"/>
      </w:pPr>
      <w:r w:rsidRPr="005D5ADF">
        <w:t xml:space="preserve">Regulations relating to the </w:t>
      </w:r>
      <w:r w:rsidR="0052580B" w:rsidRPr="005D5ADF">
        <w:t>Q</w:t>
      </w:r>
      <w:r w:rsidRPr="005D5ADF">
        <w:t xml:space="preserve">ualifications entitling </w:t>
      </w:r>
      <w:r w:rsidR="0052580B" w:rsidRPr="005D5ADF">
        <w:t>D</w:t>
      </w:r>
      <w:r w:rsidRPr="005D5ADF">
        <w:t xml:space="preserve">entists to </w:t>
      </w:r>
      <w:r w:rsidR="0052580B" w:rsidRPr="005D5ADF">
        <w:t>R</w:t>
      </w:r>
      <w:r w:rsidRPr="005D5ADF">
        <w:t xml:space="preserve">egister, </w:t>
      </w:r>
      <w:r w:rsidR="0052580B" w:rsidRPr="005D5ADF">
        <w:t>M</w:t>
      </w:r>
      <w:r w:rsidRPr="005D5ADF">
        <w:t xml:space="preserve">inimum </w:t>
      </w:r>
      <w:r w:rsidR="0052580B" w:rsidRPr="005D5ADF">
        <w:t>C</w:t>
      </w:r>
      <w:r w:rsidRPr="005D5ADF">
        <w:t>urriculum for Dentistry and Professional Examinations for Dentists</w:t>
      </w:r>
    </w:p>
    <w:p w14:paraId="402159DE" w14:textId="77777777" w:rsidR="00D2019F" w:rsidRPr="005D5ADF" w:rsidRDefault="00BD2B69" w:rsidP="005A2184">
      <w:pPr>
        <w:pStyle w:val="REG-H1d"/>
        <w:rPr>
          <w:lang w:val="en-GB"/>
        </w:rPr>
      </w:pPr>
      <w:r w:rsidRPr="005D5ADF">
        <w:rPr>
          <w:lang w:val="en-GB"/>
        </w:rPr>
        <w:t xml:space="preserve">Government Notice </w:t>
      </w:r>
      <w:r w:rsidR="00973085" w:rsidRPr="005D5ADF">
        <w:rPr>
          <w:lang w:val="en-GB"/>
        </w:rPr>
        <w:t>51</w:t>
      </w:r>
      <w:r w:rsidR="005709A6" w:rsidRPr="005D5ADF">
        <w:rPr>
          <w:lang w:val="en-GB"/>
        </w:rPr>
        <w:t xml:space="preserve"> </w:t>
      </w:r>
      <w:r w:rsidR="005C16B3" w:rsidRPr="005D5ADF">
        <w:rPr>
          <w:lang w:val="en-GB"/>
        </w:rPr>
        <w:t>of</w:t>
      </w:r>
      <w:r w:rsidR="005709A6" w:rsidRPr="005D5ADF">
        <w:rPr>
          <w:lang w:val="en-GB"/>
        </w:rPr>
        <w:t xml:space="preserve"> </w:t>
      </w:r>
      <w:r w:rsidR="00973085" w:rsidRPr="005D5ADF">
        <w:rPr>
          <w:lang w:val="en-GB"/>
        </w:rPr>
        <w:t>2006</w:t>
      </w:r>
    </w:p>
    <w:p w14:paraId="5A815ECE" w14:textId="4E1A9F10" w:rsidR="003013D8" w:rsidRPr="005D5ADF" w:rsidRDefault="003013D8" w:rsidP="005A2184">
      <w:pPr>
        <w:pStyle w:val="REG-Amend"/>
      </w:pPr>
      <w:r w:rsidRPr="005D5ADF">
        <w:t>(</w:t>
      </w:r>
      <w:hyperlink r:id="rId9" w:history="1">
        <w:r w:rsidR="00DE361C" w:rsidRPr="000910E7">
          <w:rPr>
            <w:rStyle w:val="Hyperlink"/>
          </w:rPr>
          <w:t>GG 3595</w:t>
        </w:r>
      </w:hyperlink>
      <w:r w:rsidRPr="005D5ADF">
        <w:t>)</w:t>
      </w:r>
    </w:p>
    <w:p w14:paraId="301EF7C7" w14:textId="77777777" w:rsidR="003013D8" w:rsidRPr="005D5ADF" w:rsidRDefault="003013D8" w:rsidP="005A2184">
      <w:pPr>
        <w:pStyle w:val="REG-Amend"/>
      </w:pPr>
      <w:r w:rsidRPr="005D5ADF">
        <w:t>came into force on da</w:t>
      </w:r>
      <w:r w:rsidR="00973085" w:rsidRPr="005D5ADF">
        <w:t>te of publication: 20 February 2006</w:t>
      </w:r>
    </w:p>
    <w:p w14:paraId="2F145932" w14:textId="77777777" w:rsidR="0052580B" w:rsidRPr="005D5ADF" w:rsidRDefault="0052580B" w:rsidP="005A2184">
      <w:pPr>
        <w:pStyle w:val="REG-Amend"/>
      </w:pPr>
    </w:p>
    <w:p w14:paraId="6A990783" w14:textId="293158A4" w:rsidR="00DE361C" w:rsidRPr="00647CD8" w:rsidRDefault="00AF59EA" w:rsidP="00DE361C">
      <w:pPr>
        <w:pStyle w:val="REG-Amend"/>
      </w:pPr>
      <w:r>
        <w:t>T</w:t>
      </w:r>
      <w:r w:rsidR="00DE361C" w:rsidRPr="00647CD8">
        <w:t>hese regulations were made in terms of section 5</w:t>
      </w:r>
      <w:r w:rsidR="00DE361C">
        <w:t xml:space="preserve">9 </w:t>
      </w:r>
      <w:r w:rsidR="00DE361C" w:rsidRPr="00647CD8">
        <w:t xml:space="preserve">of the </w:t>
      </w:r>
      <w:r w:rsidR="00DE361C" w:rsidRPr="00397177">
        <w:t>Medical and Dental Act 10 of 2004</w:t>
      </w:r>
      <w:r w:rsidR="00DE361C" w:rsidRPr="00647CD8">
        <w:t>, which was repealed by the Health Professions Act 16 of 2024. Pursuant to section 95(10) of the Health Professions Act 16 of 2024, they are deemed to have been made under that Act.</w:t>
      </w:r>
    </w:p>
    <w:p w14:paraId="1C868C75" w14:textId="77777777" w:rsidR="00DE361C" w:rsidRDefault="00DE361C" w:rsidP="005A2184">
      <w:pPr>
        <w:pStyle w:val="REG-Amend"/>
      </w:pPr>
    </w:p>
    <w:p w14:paraId="3AAEAD14" w14:textId="17D9E082" w:rsidR="0052580B" w:rsidRPr="005D5ADF" w:rsidRDefault="0052580B" w:rsidP="005A2184">
      <w:pPr>
        <w:pStyle w:val="REG-Amend"/>
      </w:pPr>
      <w:r w:rsidRPr="005D5ADF">
        <w:t xml:space="preserve">The Government Notice which publishes these regulations notes that they were made </w:t>
      </w:r>
      <w:r w:rsidRPr="005D5ADF">
        <w:br/>
        <w:t>on the recommendation of the Interim Medical and Dental Council.</w:t>
      </w:r>
    </w:p>
    <w:p w14:paraId="5A32B0E8" w14:textId="77777777" w:rsidR="005955EA" w:rsidRPr="005D5ADF" w:rsidRDefault="005955EA" w:rsidP="005A2184">
      <w:pPr>
        <w:pStyle w:val="REG-H1a"/>
        <w:pBdr>
          <w:bottom w:val="single" w:sz="4" w:space="1" w:color="auto"/>
        </w:pBdr>
        <w:rPr>
          <w:sz w:val="34"/>
        </w:rPr>
      </w:pPr>
    </w:p>
    <w:p w14:paraId="65B9898C" w14:textId="77777777" w:rsidR="001121EE" w:rsidRPr="005D5ADF" w:rsidRDefault="001121EE" w:rsidP="005A2184">
      <w:pPr>
        <w:pStyle w:val="REG-H1a"/>
        <w:rPr>
          <w:sz w:val="34"/>
        </w:rPr>
      </w:pPr>
    </w:p>
    <w:p w14:paraId="19DEB4D3" w14:textId="77777777" w:rsidR="008938F7" w:rsidRPr="005D5ADF" w:rsidRDefault="0052580B" w:rsidP="005A2184">
      <w:pPr>
        <w:pStyle w:val="REG-H2"/>
      </w:pPr>
      <w:r w:rsidRPr="005D5ADF">
        <w:t xml:space="preserve">ARRANGEMENT OF REGULATIONS </w:t>
      </w:r>
    </w:p>
    <w:p w14:paraId="0FCBCAE3" w14:textId="77777777" w:rsidR="00C63501" w:rsidRPr="005D5ADF" w:rsidRDefault="00C63501" w:rsidP="005A2184">
      <w:pPr>
        <w:pStyle w:val="REG-P0"/>
        <w:rPr>
          <w:color w:val="00B050"/>
          <w:sz w:val="20"/>
        </w:rPr>
      </w:pPr>
    </w:p>
    <w:p w14:paraId="18331DD7" w14:textId="77777777" w:rsidR="00A156A1" w:rsidRPr="005D5ADF" w:rsidRDefault="00A156A1" w:rsidP="005A2184">
      <w:pPr>
        <w:pStyle w:val="REG-P0"/>
        <w:rPr>
          <w:color w:val="00B050"/>
        </w:rPr>
      </w:pPr>
      <w:r w:rsidRPr="005D5ADF">
        <w:rPr>
          <w:color w:val="00B050"/>
        </w:rPr>
        <w:t>1.</w:t>
      </w:r>
      <w:r w:rsidRPr="005D5ADF">
        <w:rPr>
          <w:color w:val="00B050"/>
        </w:rPr>
        <w:tab/>
      </w:r>
      <w:r w:rsidR="00973085" w:rsidRPr="005D5ADF">
        <w:rPr>
          <w:color w:val="00B050"/>
        </w:rPr>
        <w:t>Definitions</w:t>
      </w:r>
    </w:p>
    <w:p w14:paraId="7C0C7D7F" w14:textId="77777777" w:rsidR="00973085" w:rsidRPr="005D5ADF" w:rsidRDefault="003905F1" w:rsidP="005A2184">
      <w:pPr>
        <w:pStyle w:val="REG-P0"/>
        <w:rPr>
          <w:color w:val="00B050"/>
        </w:rPr>
      </w:pPr>
      <w:r w:rsidRPr="005D5ADF">
        <w:rPr>
          <w:color w:val="00B050"/>
        </w:rPr>
        <w:t>2.</w:t>
      </w:r>
      <w:r w:rsidR="00973085" w:rsidRPr="005D5ADF">
        <w:rPr>
          <w:color w:val="00B050"/>
        </w:rPr>
        <w:tab/>
        <w:t>Minimum requirements for registration as a dentist</w:t>
      </w:r>
    </w:p>
    <w:p w14:paraId="06375A6A" w14:textId="77777777" w:rsidR="00973085" w:rsidRPr="005D5ADF" w:rsidRDefault="00973085" w:rsidP="005A2184">
      <w:pPr>
        <w:pStyle w:val="REG-P0"/>
        <w:rPr>
          <w:color w:val="00B050"/>
        </w:rPr>
      </w:pPr>
      <w:r w:rsidRPr="005D5ADF">
        <w:rPr>
          <w:color w:val="00B050"/>
        </w:rPr>
        <w:t>3.</w:t>
      </w:r>
      <w:r w:rsidRPr="005D5ADF">
        <w:rPr>
          <w:color w:val="00B050"/>
        </w:rPr>
        <w:tab/>
        <w:t>Minimum requirements for study at educational institution</w:t>
      </w:r>
    </w:p>
    <w:p w14:paraId="14944FEE" w14:textId="77777777" w:rsidR="00973085" w:rsidRPr="005D5ADF" w:rsidRDefault="00973085" w:rsidP="005A2184">
      <w:pPr>
        <w:pStyle w:val="REG-P0"/>
        <w:rPr>
          <w:color w:val="00B050"/>
        </w:rPr>
      </w:pPr>
      <w:r w:rsidRPr="005D5ADF">
        <w:rPr>
          <w:color w:val="00B050"/>
        </w:rPr>
        <w:t>4.</w:t>
      </w:r>
      <w:r w:rsidRPr="005D5ADF">
        <w:rPr>
          <w:color w:val="00B050"/>
        </w:rPr>
        <w:tab/>
        <w:t>Examinations by educational institution</w:t>
      </w:r>
    </w:p>
    <w:p w14:paraId="18CB1283" w14:textId="77777777" w:rsidR="00C63501" w:rsidRPr="005D5ADF" w:rsidRDefault="003905F1" w:rsidP="005A2184">
      <w:pPr>
        <w:pStyle w:val="REG-P0"/>
        <w:rPr>
          <w:color w:val="00B050"/>
          <w:sz w:val="20"/>
        </w:rPr>
      </w:pPr>
      <w:r w:rsidRPr="005D5ADF">
        <w:rPr>
          <w:color w:val="00B050"/>
          <w:sz w:val="20"/>
        </w:rPr>
        <w:tab/>
      </w:r>
    </w:p>
    <w:p w14:paraId="4191F625" w14:textId="56BB052B" w:rsidR="00694430" w:rsidRPr="005D5ADF" w:rsidRDefault="0052580B" w:rsidP="002205C5">
      <w:pPr>
        <w:pStyle w:val="REG-H3A"/>
        <w:jc w:val="left"/>
        <w:rPr>
          <w:color w:val="00B050"/>
        </w:rPr>
      </w:pPr>
      <w:r w:rsidRPr="005D5ADF">
        <w:rPr>
          <w:color w:val="00B050"/>
        </w:rPr>
        <w:t>ANNEXURE</w:t>
      </w:r>
      <w:r w:rsidR="002205C5">
        <w:rPr>
          <w:color w:val="00B050"/>
        </w:rPr>
        <w:t xml:space="preserve">: </w:t>
      </w:r>
      <w:r w:rsidR="0036572A" w:rsidRPr="005D5ADF">
        <w:rPr>
          <w:b w:val="0"/>
          <w:caps w:val="0"/>
          <w:color w:val="00B050"/>
        </w:rPr>
        <w:t>Minimum Curriculum for Dentistry</w:t>
      </w:r>
    </w:p>
    <w:p w14:paraId="179CB905" w14:textId="77777777" w:rsidR="00FA7FE6" w:rsidRPr="005D5ADF" w:rsidRDefault="00FA7FE6" w:rsidP="005A2184">
      <w:pPr>
        <w:pStyle w:val="REG-H1a"/>
        <w:pBdr>
          <w:bottom w:val="single" w:sz="4" w:space="1" w:color="auto"/>
        </w:pBdr>
        <w:rPr>
          <w:sz w:val="34"/>
        </w:rPr>
      </w:pPr>
    </w:p>
    <w:p w14:paraId="7272A48B" w14:textId="77777777" w:rsidR="00342850" w:rsidRPr="005D5ADF" w:rsidRDefault="00342850" w:rsidP="005A2184">
      <w:pPr>
        <w:pStyle w:val="REG-H1a"/>
        <w:rPr>
          <w:sz w:val="34"/>
        </w:rPr>
      </w:pPr>
    </w:p>
    <w:p w14:paraId="331F5D63" w14:textId="77777777" w:rsidR="007409E2" w:rsidRPr="005D5ADF" w:rsidRDefault="007409E2" w:rsidP="005A2184">
      <w:pPr>
        <w:pStyle w:val="REG-P0"/>
      </w:pPr>
      <w:r w:rsidRPr="005D5ADF">
        <w:rPr>
          <w:b/>
          <w:bCs/>
        </w:rPr>
        <w:t>Definitions</w:t>
      </w:r>
    </w:p>
    <w:p w14:paraId="554E603A" w14:textId="77777777" w:rsidR="007409E2" w:rsidRPr="005D5ADF" w:rsidRDefault="007409E2" w:rsidP="005A2184">
      <w:pPr>
        <w:pStyle w:val="REG-P0"/>
      </w:pPr>
    </w:p>
    <w:p w14:paraId="3ACE72ED" w14:textId="77777777" w:rsidR="007409E2" w:rsidRPr="005D5ADF" w:rsidRDefault="007409E2" w:rsidP="005A2184">
      <w:pPr>
        <w:pStyle w:val="REG-P1"/>
      </w:pPr>
      <w:r w:rsidRPr="005D5ADF">
        <w:rPr>
          <w:b/>
          <w:bCs/>
        </w:rPr>
        <w:t>1.</w:t>
      </w:r>
      <w:r w:rsidRPr="005D5ADF">
        <w:rPr>
          <w:b/>
          <w:bCs/>
        </w:rPr>
        <w:tab/>
      </w:r>
      <w:r w:rsidRPr="005D5ADF">
        <w:t>In these regulations, unless the context otherwise indicates, a word or expression defined in the Act has that meaning, and -</w:t>
      </w:r>
    </w:p>
    <w:p w14:paraId="1D1BD07B" w14:textId="77777777" w:rsidR="007409E2" w:rsidRPr="005D5ADF" w:rsidRDefault="007409E2" w:rsidP="005A2184">
      <w:pPr>
        <w:pStyle w:val="REG-P0"/>
      </w:pPr>
    </w:p>
    <w:p w14:paraId="4F19C51E" w14:textId="77777777" w:rsidR="007409E2" w:rsidRPr="005D5ADF" w:rsidRDefault="00F95381" w:rsidP="005A2184">
      <w:pPr>
        <w:pStyle w:val="REG-P0"/>
      </w:pPr>
      <w:r w:rsidRPr="005D5ADF">
        <w:lastRenderedPageBreak/>
        <w:t>“</w:t>
      </w:r>
      <w:r w:rsidR="007409E2" w:rsidRPr="005D5ADF">
        <w:t>Council</w:t>
      </w:r>
      <w:r w:rsidRPr="005D5ADF">
        <w:t>”</w:t>
      </w:r>
      <w:r w:rsidR="007409E2" w:rsidRPr="005D5ADF">
        <w:t xml:space="preserve"> means the Interim Medical and Dental Council of Namibia established under section 63 of the</w:t>
      </w:r>
      <w:r w:rsidR="0052580B" w:rsidRPr="005D5ADF">
        <w:t xml:space="preserve"> </w:t>
      </w:r>
      <w:r w:rsidR="007409E2" w:rsidRPr="005D5ADF">
        <w:t>Act or the Medical and Dental Council of Namibia established by section 3 of the Act, as the case may be;</w:t>
      </w:r>
    </w:p>
    <w:p w14:paraId="2AABDFD9" w14:textId="77777777" w:rsidR="0052580B" w:rsidRPr="005D5ADF" w:rsidRDefault="0052580B" w:rsidP="005A2184">
      <w:pPr>
        <w:pStyle w:val="REG-P0"/>
      </w:pPr>
    </w:p>
    <w:p w14:paraId="1EB75A68" w14:textId="77777777" w:rsidR="007409E2" w:rsidRPr="005D5ADF" w:rsidRDefault="00F95381" w:rsidP="005A2184">
      <w:pPr>
        <w:pStyle w:val="REG-P0"/>
      </w:pPr>
      <w:r w:rsidRPr="005D5ADF">
        <w:t>“</w:t>
      </w:r>
      <w:r w:rsidR="007409E2" w:rsidRPr="005D5ADF">
        <w:t>student</w:t>
      </w:r>
      <w:r w:rsidRPr="005D5ADF">
        <w:t>”</w:t>
      </w:r>
      <w:r w:rsidR="007409E2" w:rsidRPr="005D5ADF">
        <w:t xml:space="preserve"> means a person registered as a student in dentistry at an educational institution and who is receiving the training and tuition in dentistry specified in these regulations; and</w:t>
      </w:r>
    </w:p>
    <w:p w14:paraId="7B1401B3" w14:textId="77777777" w:rsidR="007409E2" w:rsidRPr="005D5ADF" w:rsidRDefault="007409E2" w:rsidP="005A2184">
      <w:pPr>
        <w:pStyle w:val="REG-P0"/>
      </w:pPr>
    </w:p>
    <w:p w14:paraId="49921987" w14:textId="77777777" w:rsidR="007409E2" w:rsidRPr="005D5ADF" w:rsidRDefault="00F95381" w:rsidP="005A2184">
      <w:pPr>
        <w:pStyle w:val="REG-P0"/>
      </w:pPr>
      <w:r w:rsidRPr="005D5ADF">
        <w:t>“</w:t>
      </w:r>
      <w:r w:rsidR="007409E2" w:rsidRPr="005D5ADF">
        <w:t>the Act</w:t>
      </w:r>
      <w:r w:rsidRPr="005D5ADF">
        <w:t>”</w:t>
      </w:r>
      <w:r w:rsidR="007409E2" w:rsidRPr="005D5ADF">
        <w:t xml:space="preserve"> means the Medical and Dental Act, 2004 (Act No. 10 of 2004).</w:t>
      </w:r>
    </w:p>
    <w:p w14:paraId="04EA204C" w14:textId="77777777" w:rsidR="007409E2" w:rsidRDefault="007409E2" w:rsidP="005A2184">
      <w:pPr>
        <w:pStyle w:val="REG-P0"/>
      </w:pPr>
    </w:p>
    <w:p w14:paraId="4130795F" w14:textId="77777777" w:rsidR="00DE361C" w:rsidRDefault="00DE361C" w:rsidP="00DE361C">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038733E0" w14:textId="77777777" w:rsidR="00DE361C" w:rsidRPr="005D5ADF" w:rsidRDefault="00DE361C" w:rsidP="005A2184">
      <w:pPr>
        <w:pStyle w:val="REG-P0"/>
      </w:pPr>
    </w:p>
    <w:p w14:paraId="24E5A554" w14:textId="77777777" w:rsidR="007409E2" w:rsidRPr="005D5ADF" w:rsidRDefault="007409E2" w:rsidP="005A2184">
      <w:pPr>
        <w:pStyle w:val="REG-P0"/>
        <w:rPr>
          <w:b/>
          <w:bCs/>
        </w:rPr>
      </w:pPr>
      <w:r w:rsidRPr="005D5ADF">
        <w:rPr>
          <w:b/>
        </w:rPr>
        <w:t>Minimum requirements for registration as a dentist</w:t>
      </w:r>
    </w:p>
    <w:p w14:paraId="19045751" w14:textId="77777777" w:rsidR="007409E2" w:rsidRPr="005D5ADF" w:rsidRDefault="007409E2" w:rsidP="005A2184">
      <w:pPr>
        <w:pStyle w:val="REG-P0"/>
      </w:pPr>
    </w:p>
    <w:p w14:paraId="5696830F" w14:textId="77777777" w:rsidR="007409E2" w:rsidRPr="005D5ADF" w:rsidRDefault="007409E2" w:rsidP="005A2184">
      <w:pPr>
        <w:pStyle w:val="REG-P1"/>
      </w:pPr>
      <w:r w:rsidRPr="005D5ADF">
        <w:rPr>
          <w:b/>
          <w:bCs/>
        </w:rPr>
        <w:t>2.</w:t>
      </w:r>
      <w:r w:rsidRPr="005D5ADF">
        <w:rPr>
          <w:b/>
          <w:bCs/>
        </w:rPr>
        <w:tab/>
      </w:r>
      <w:r w:rsidRPr="005D5ADF">
        <w:t>(1)</w:t>
      </w:r>
      <w:r w:rsidR="00F83607" w:rsidRPr="005D5ADF">
        <w:tab/>
      </w:r>
      <w:r w:rsidRPr="005D5ADF">
        <w:t>The minimum qualification which, in terms of section 18(1) of the Act, entitles the holder to registration with the Council as a dentist is the Bachelors Degree in Dental Science and Surgery granted by an educational institution.</w:t>
      </w:r>
    </w:p>
    <w:p w14:paraId="672EBEF9" w14:textId="77777777" w:rsidR="007409E2" w:rsidRPr="005D5ADF" w:rsidRDefault="007409E2" w:rsidP="005A2184">
      <w:pPr>
        <w:pStyle w:val="REG-P0"/>
      </w:pPr>
    </w:p>
    <w:p w14:paraId="07613F36" w14:textId="77777777" w:rsidR="007409E2" w:rsidRPr="005D5ADF" w:rsidRDefault="007409E2" w:rsidP="005A2184">
      <w:pPr>
        <w:pStyle w:val="REG-P1"/>
      </w:pPr>
      <w:r w:rsidRPr="005D5ADF">
        <w:t>(2)</w:t>
      </w:r>
      <w:r w:rsidRPr="005D5ADF">
        <w:tab/>
        <w:t>The qualification referred to in subregulation (1) may only be recognised if -</w:t>
      </w:r>
    </w:p>
    <w:p w14:paraId="38C2AB8C" w14:textId="77777777" w:rsidR="007409E2" w:rsidRPr="005D5ADF" w:rsidRDefault="007409E2" w:rsidP="005A2184">
      <w:pPr>
        <w:pStyle w:val="REG-P1"/>
      </w:pPr>
    </w:p>
    <w:p w14:paraId="1F3BE4CA" w14:textId="77777777" w:rsidR="007409E2" w:rsidRPr="005D5ADF" w:rsidRDefault="007409E2" w:rsidP="005A2184">
      <w:pPr>
        <w:pStyle w:val="REG-Pa"/>
      </w:pPr>
      <w:r w:rsidRPr="005D5ADF">
        <w:t>(a)</w:t>
      </w:r>
      <w:r w:rsidRPr="005D5ADF">
        <w:tab/>
        <w:t>the dental course consisted of at least five years of full time academic study at an educational institution or educational institutions;</w:t>
      </w:r>
    </w:p>
    <w:p w14:paraId="57C4E56F" w14:textId="77777777" w:rsidR="007409E2" w:rsidRPr="005D5ADF" w:rsidRDefault="007409E2" w:rsidP="005A2184">
      <w:pPr>
        <w:pStyle w:val="REG-Pa"/>
      </w:pPr>
    </w:p>
    <w:p w14:paraId="37A2BB2D" w14:textId="77777777" w:rsidR="007409E2" w:rsidRPr="005D5ADF" w:rsidRDefault="007409E2" w:rsidP="005A2184">
      <w:pPr>
        <w:pStyle w:val="REG-Pa"/>
      </w:pPr>
      <w:r w:rsidRPr="005D5ADF">
        <w:t>(b)</w:t>
      </w:r>
      <w:r w:rsidRPr="005D5ADF">
        <w:tab/>
        <w:t>the dental course included the passing of the subjects specified in the Annexure; and</w:t>
      </w:r>
    </w:p>
    <w:p w14:paraId="78F37DBE" w14:textId="77777777" w:rsidR="007409E2" w:rsidRPr="005D5ADF" w:rsidRDefault="007409E2" w:rsidP="005A2184">
      <w:pPr>
        <w:pStyle w:val="REG-Pa"/>
      </w:pPr>
    </w:p>
    <w:p w14:paraId="302BDE68" w14:textId="77777777" w:rsidR="007409E2" w:rsidRPr="005D5ADF" w:rsidRDefault="007409E2" w:rsidP="005A2184">
      <w:pPr>
        <w:pStyle w:val="REG-Pa"/>
      </w:pPr>
      <w:r w:rsidRPr="005D5ADF">
        <w:t>(c)</w:t>
      </w:r>
      <w:r w:rsidRPr="005D5ADF">
        <w:tab/>
      </w:r>
      <w:r w:rsidRPr="005D5ADF">
        <w:rPr>
          <w:spacing w:val="-2"/>
        </w:rPr>
        <w:t xml:space="preserve">the curriculum of study of the educational institution which granted the qualification </w:t>
      </w:r>
      <w:r w:rsidRPr="005D5ADF">
        <w:t>meets the requirements specified in regulations 3 and 4.</w:t>
      </w:r>
    </w:p>
    <w:p w14:paraId="1E000357" w14:textId="77777777" w:rsidR="007409E2" w:rsidRPr="005D5ADF" w:rsidRDefault="007409E2" w:rsidP="005A2184">
      <w:pPr>
        <w:pStyle w:val="REG-Pa"/>
      </w:pPr>
    </w:p>
    <w:p w14:paraId="018CE5FE" w14:textId="77777777" w:rsidR="007409E2" w:rsidRPr="005D5ADF" w:rsidRDefault="007409E2" w:rsidP="005A2184">
      <w:pPr>
        <w:pStyle w:val="REG-P1"/>
      </w:pPr>
      <w:r w:rsidRPr="005D5ADF">
        <w:t>(3)</w:t>
      </w:r>
      <w:r w:rsidRPr="005D5ADF">
        <w:tab/>
        <w:t>In addition to possessing the qualification specified in subregulation (1), the person who seeks registration with the Council must comply with all the other requirements prescribed by or under the Act, including the passing of an evaluation conducted by the Council in accordance with section 20(3) of the Act.</w:t>
      </w:r>
    </w:p>
    <w:p w14:paraId="155FFC65" w14:textId="77777777" w:rsidR="007409E2" w:rsidRPr="005D5ADF" w:rsidRDefault="007409E2" w:rsidP="005A2184">
      <w:pPr>
        <w:pStyle w:val="REG-P0"/>
      </w:pPr>
    </w:p>
    <w:p w14:paraId="1E626E3C" w14:textId="77777777" w:rsidR="007409E2" w:rsidRPr="005D5ADF" w:rsidRDefault="007409E2" w:rsidP="005A2184">
      <w:pPr>
        <w:pStyle w:val="REG-P0"/>
        <w:rPr>
          <w:b/>
          <w:bCs/>
        </w:rPr>
      </w:pPr>
      <w:r w:rsidRPr="005D5ADF">
        <w:rPr>
          <w:b/>
        </w:rPr>
        <w:t>Minimum requirements for study at educational institution</w:t>
      </w:r>
    </w:p>
    <w:p w14:paraId="412BB3F9" w14:textId="77777777" w:rsidR="007409E2" w:rsidRPr="005D5ADF" w:rsidRDefault="007409E2" w:rsidP="005A2184">
      <w:pPr>
        <w:pStyle w:val="REG-P0"/>
      </w:pPr>
    </w:p>
    <w:p w14:paraId="44A4342E" w14:textId="77777777" w:rsidR="007409E2" w:rsidRPr="005D5ADF" w:rsidRDefault="007409E2" w:rsidP="005A2184">
      <w:pPr>
        <w:pStyle w:val="REG-P1"/>
      </w:pPr>
      <w:r w:rsidRPr="005D5ADF">
        <w:rPr>
          <w:b/>
          <w:bCs/>
        </w:rPr>
        <w:t>3.</w:t>
      </w:r>
      <w:r w:rsidRPr="005D5ADF">
        <w:rPr>
          <w:b/>
          <w:bCs/>
        </w:rPr>
        <w:tab/>
      </w:r>
      <w:r w:rsidRPr="005D5ADF">
        <w:t>(1)</w:t>
      </w:r>
      <w:r w:rsidR="006C0353" w:rsidRPr="005D5ADF">
        <w:tab/>
      </w:r>
      <w:r w:rsidRPr="005D5ADF">
        <w:t>The minimum curriculum of study for an educational institution referred to in regulation 2(1) must meet the minimum requirements set out in this regulation.</w:t>
      </w:r>
    </w:p>
    <w:p w14:paraId="6A72AD43" w14:textId="77777777" w:rsidR="007409E2" w:rsidRPr="005D5ADF" w:rsidRDefault="007409E2" w:rsidP="005A2184">
      <w:pPr>
        <w:pStyle w:val="REG-P0"/>
      </w:pPr>
    </w:p>
    <w:p w14:paraId="4C6DDA67" w14:textId="77777777" w:rsidR="007409E2" w:rsidRPr="005D5ADF" w:rsidRDefault="007409E2" w:rsidP="005A2184">
      <w:pPr>
        <w:pStyle w:val="REG-P1"/>
      </w:pPr>
      <w:r w:rsidRPr="005D5ADF">
        <w:t>(2)</w:t>
      </w:r>
      <w:r w:rsidRPr="005D5ADF">
        <w:tab/>
        <w:t>The educational institution must, during the period of study referred to in regulation 2(2)(a) and throughout the entire curriculum, provide for adequate arrangements relating to the effective co-ordination of the various subjects specified in the Annexure.</w:t>
      </w:r>
    </w:p>
    <w:p w14:paraId="2D606CF2" w14:textId="77777777" w:rsidR="007409E2" w:rsidRPr="005D5ADF" w:rsidRDefault="007409E2" w:rsidP="005A2184">
      <w:pPr>
        <w:pStyle w:val="REG-P1"/>
      </w:pPr>
    </w:p>
    <w:p w14:paraId="67405D59" w14:textId="77777777" w:rsidR="007409E2" w:rsidRPr="005D5ADF" w:rsidRDefault="007409E2" w:rsidP="005A2184">
      <w:pPr>
        <w:pStyle w:val="REG-P1"/>
      </w:pPr>
      <w:r w:rsidRPr="005D5ADF">
        <w:t>(3)</w:t>
      </w:r>
      <w:r w:rsidRPr="005D5ADF">
        <w:tab/>
        <w:t>All the subjects referred to in the Annexure must be directed, as from the first year of study, at the tuition and training in dentistry.</w:t>
      </w:r>
    </w:p>
    <w:p w14:paraId="2B4A0C94" w14:textId="77777777" w:rsidR="007409E2" w:rsidRPr="005D5ADF" w:rsidRDefault="007409E2" w:rsidP="005A2184">
      <w:pPr>
        <w:pStyle w:val="REG-P0"/>
      </w:pPr>
    </w:p>
    <w:p w14:paraId="52D15D29" w14:textId="77777777" w:rsidR="007409E2" w:rsidRPr="005D5ADF" w:rsidRDefault="007409E2" w:rsidP="005A2184">
      <w:pPr>
        <w:pStyle w:val="REG-P1"/>
      </w:pPr>
      <w:r w:rsidRPr="005D5ADF">
        <w:t>(4)</w:t>
      </w:r>
      <w:r w:rsidRPr="005D5ADF">
        <w:tab/>
        <w:t>The tuition and training by the educational institution in the basic subjects of Anatomy, Physiology, Pathology and Pharmacology, as applicable to the clinical practice of a dentist, must be continued throughout the entire period of study referred to in regulation 2(2)(a).</w:t>
      </w:r>
    </w:p>
    <w:p w14:paraId="44EFCE1A" w14:textId="77777777" w:rsidR="007409E2" w:rsidRPr="005D5ADF" w:rsidRDefault="007409E2" w:rsidP="005A2184">
      <w:pPr>
        <w:pStyle w:val="REG-P1"/>
      </w:pPr>
    </w:p>
    <w:p w14:paraId="3EC29DFA" w14:textId="77777777" w:rsidR="007409E2" w:rsidRPr="005D5ADF" w:rsidRDefault="007409E2" w:rsidP="005A2184">
      <w:pPr>
        <w:pStyle w:val="REG-P1"/>
      </w:pPr>
      <w:r w:rsidRPr="005D5ADF">
        <w:t>(5)</w:t>
      </w:r>
      <w:r w:rsidRPr="005D5ADF">
        <w:tab/>
        <w:t>The curriculum referred to in subregulation (2) must consist of systematic training and tuition and practical work, and must cover a basic syllabus consisting of the subjects specified in the Annexure.</w:t>
      </w:r>
    </w:p>
    <w:p w14:paraId="4B335430" w14:textId="77777777" w:rsidR="007409E2" w:rsidRPr="005D5ADF" w:rsidRDefault="007409E2" w:rsidP="005A2184">
      <w:pPr>
        <w:pStyle w:val="REG-P1"/>
      </w:pPr>
    </w:p>
    <w:p w14:paraId="0B31A383" w14:textId="77777777" w:rsidR="007409E2" w:rsidRPr="005D5ADF" w:rsidRDefault="007409E2" w:rsidP="005A2184">
      <w:pPr>
        <w:pStyle w:val="REG-P1"/>
      </w:pPr>
      <w:r w:rsidRPr="005D5ADF">
        <w:t>(6)</w:t>
      </w:r>
      <w:r w:rsidRPr="005D5ADF">
        <w:tab/>
        <w:t>The educational institution must integrate the various subjects specified in the Annexure relating to their clinical application.</w:t>
      </w:r>
    </w:p>
    <w:p w14:paraId="0A5A858D" w14:textId="77777777" w:rsidR="007409E2" w:rsidRPr="005D5ADF" w:rsidRDefault="007409E2" w:rsidP="005A2184">
      <w:pPr>
        <w:pStyle w:val="REG-P0"/>
      </w:pPr>
    </w:p>
    <w:p w14:paraId="4DC22519" w14:textId="77777777" w:rsidR="007409E2" w:rsidRPr="005D5ADF" w:rsidRDefault="007409E2" w:rsidP="005A2184">
      <w:pPr>
        <w:pStyle w:val="REG-P0"/>
        <w:rPr>
          <w:b/>
          <w:bCs/>
        </w:rPr>
      </w:pPr>
      <w:r w:rsidRPr="005D5ADF">
        <w:rPr>
          <w:b/>
        </w:rPr>
        <w:t>Examinations by educational institution</w:t>
      </w:r>
    </w:p>
    <w:p w14:paraId="2C1616BC" w14:textId="77777777" w:rsidR="007409E2" w:rsidRPr="005D5ADF" w:rsidRDefault="007409E2" w:rsidP="005A2184">
      <w:pPr>
        <w:pStyle w:val="REG-P0"/>
      </w:pPr>
    </w:p>
    <w:p w14:paraId="6672FE4A" w14:textId="77777777" w:rsidR="007409E2" w:rsidRPr="005D5ADF" w:rsidRDefault="007409E2" w:rsidP="005A2184">
      <w:pPr>
        <w:pStyle w:val="REG-P1"/>
      </w:pPr>
      <w:r w:rsidRPr="005D5ADF">
        <w:rPr>
          <w:b/>
          <w:bCs/>
        </w:rPr>
        <w:t>4.</w:t>
      </w:r>
      <w:r w:rsidRPr="005D5ADF">
        <w:rPr>
          <w:b/>
          <w:bCs/>
        </w:rPr>
        <w:tab/>
      </w:r>
      <w:r w:rsidRPr="005D5ADF">
        <w:t>(1)</w:t>
      </w:r>
      <w:r w:rsidR="006C0353" w:rsidRPr="005D5ADF">
        <w:tab/>
      </w:r>
      <w:r w:rsidRPr="005D5ADF">
        <w:t>The examinations referred to in this regulation may be conducted by the educational institution in part by means of the continual evaluation of the student.</w:t>
      </w:r>
    </w:p>
    <w:p w14:paraId="64924E79" w14:textId="77777777" w:rsidR="007409E2" w:rsidRPr="005D5ADF" w:rsidRDefault="007409E2" w:rsidP="005A2184">
      <w:pPr>
        <w:pStyle w:val="REG-P0"/>
      </w:pPr>
    </w:p>
    <w:p w14:paraId="5BD95FE2" w14:textId="77777777" w:rsidR="007409E2" w:rsidRPr="005D5ADF" w:rsidRDefault="007409E2" w:rsidP="005A2184">
      <w:pPr>
        <w:pStyle w:val="REG-P1"/>
      </w:pPr>
      <w:r w:rsidRPr="005D5ADF">
        <w:t>(2)</w:t>
      </w:r>
      <w:r w:rsidRPr="005D5ADF">
        <w:tab/>
        <w:t>The examinations relating to a qualification referred to in regulation 2(1) -</w:t>
      </w:r>
    </w:p>
    <w:p w14:paraId="3D403878" w14:textId="77777777" w:rsidR="007409E2" w:rsidRPr="005D5ADF" w:rsidRDefault="007409E2" w:rsidP="005A2184">
      <w:pPr>
        <w:pStyle w:val="REG-P0"/>
      </w:pPr>
    </w:p>
    <w:p w14:paraId="63C3257D" w14:textId="77777777" w:rsidR="007409E2" w:rsidRPr="005D5ADF" w:rsidRDefault="007409E2" w:rsidP="005A2184">
      <w:pPr>
        <w:pStyle w:val="REG-Pa"/>
      </w:pPr>
      <w:r w:rsidRPr="005D5ADF">
        <w:t>(a)</w:t>
      </w:r>
      <w:r w:rsidRPr="005D5ADF">
        <w:tab/>
        <w:t>must include examinations in all of the subjects specified in the Annexure; and</w:t>
      </w:r>
    </w:p>
    <w:p w14:paraId="50821AB4" w14:textId="77777777" w:rsidR="007409E2" w:rsidRPr="005D5ADF" w:rsidRDefault="007409E2" w:rsidP="005A2184">
      <w:pPr>
        <w:pStyle w:val="REG-Pa"/>
      </w:pPr>
    </w:p>
    <w:p w14:paraId="2A47539E" w14:textId="77777777" w:rsidR="007409E2" w:rsidRPr="005D5ADF" w:rsidRDefault="007409E2" w:rsidP="005A2184">
      <w:pPr>
        <w:pStyle w:val="REG-Pa"/>
      </w:pPr>
      <w:r w:rsidRPr="005D5ADF">
        <w:t>(b)</w:t>
      </w:r>
      <w:r w:rsidRPr="005D5ADF">
        <w:tab/>
        <w:t>may be conducted in an integrated manner according to the requirements of the relevant faculty of the educational institution.</w:t>
      </w:r>
    </w:p>
    <w:p w14:paraId="0D5FA147" w14:textId="77777777" w:rsidR="007409E2" w:rsidRPr="005D5ADF" w:rsidRDefault="007409E2" w:rsidP="005A2184">
      <w:pPr>
        <w:pStyle w:val="REG-Pa"/>
      </w:pPr>
    </w:p>
    <w:p w14:paraId="28BAE235" w14:textId="77777777" w:rsidR="007409E2" w:rsidRPr="005D5ADF" w:rsidRDefault="007409E2" w:rsidP="005A2184">
      <w:pPr>
        <w:pStyle w:val="REG-P1"/>
      </w:pPr>
      <w:r w:rsidRPr="005D5ADF">
        <w:t>(3)</w:t>
      </w:r>
      <w:r w:rsidRPr="005D5ADF">
        <w:tab/>
        <w:t>The examination team which conducts the examinations in the final year of study of each subject specified in the Annexure, must include external examiners.</w:t>
      </w:r>
    </w:p>
    <w:p w14:paraId="2484D4B0" w14:textId="77777777" w:rsidR="007409E2" w:rsidRPr="005D5ADF" w:rsidRDefault="007409E2" w:rsidP="005A2184">
      <w:pPr>
        <w:pStyle w:val="REG-P1"/>
      </w:pPr>
    </w:p>
    <w:p w14:paraId="16E017B7" w14:textId="77777777" w:rsidR="007409E2" w:rsidRPr="005D5ADF" w:rsidRDefault="007409E2" w:rsidP="005A2184">
      <w:pPr>
        <w:pStyle w:val="REG-P1"/>
      </w:pPr>
      <w:r w:rsidRPr="005D5ADF">
        <w:t>(4)</w:t>
      </w:r>
      <w:r w:rsidRPr="005D5ADF">
        <w:tab/>
        <w:t>Not less than two examiners, of whom one must be an external examiner not involved in the tuition or training of the student, must take part in the conducting of the examination of the student referred to in the Annexure.</w:t>
      </w:r>
    </w:p>
    <w:p w14:paraId="2DFA8EAA" w14:textId="77777777" w:rsidR="007409E2" w:rsidRPr="005D5ADF" w:rsidRDefault="007409E2" w:rsidP="005A2184">
      <w:pPr>
        <w:pStyle w:val="REG-P1"/>
      </w:pPr>
    </w:p>
    <w:p w14:paraId="003FD8AB" w14:textId="77777777" w:rsidR="007409E2" w:rsidRPr="005D5ADF" w:rsidRDefault="007409E2" w:rsidP="005A2184">
      <w:pPr>
        <w:pStyle w:val="REG-P1"/>
      </w:pPr>
      <w:r w:rsidRPr="005D5ADF">
        <w:t>(5)</w:t>
      </w:r>
      <w:r w:rsidRPr="005D5ADF">
        <w:tab/>
        <w:t>The external examiner referred to in subregulation (4) need not be present during the entire examination, nor need he or she have to mark every examination paper, of the student.</w:t>
      </w:r>
    </w:p>
    <w:p w14:paraId="2C67C17C" w14:textId="77777777" w:rsidR="007409E2" w:rsidRPr="005D5ADF" w:rsidRDefault="007409E2" w:rsidP="005A2184">
      <w:pPr>
        <w:pStyle w:val="REG-P1"/>
      </w:pPr>
    </w:p>
    <w:p w14:paraId="23766FB7" w14:textId="77777777" w:rsidR="007409E2" w:rsidRPr="005D5ADF" w:rsidRDefault="007409E2" w:rsidP="005A2184">
      <w:pPr>
        <w:pStyle w:val="REG-P1"/>
      </w:pPr>
      <w:r w:rsidRPr="005D5ADF">
        <w:t>(6)</w:t>
      </w:r>
      <w:r w:rsidRPr="005D5ADF">
        <w:tab/>
        <w:t>A student must be deemed to have passed the examination if he or she has obtained not less than 50 percent of the maximum marks that can be obtained in the examination, or the equivalent of 50 percent of the maximum marks in the marking system employed by the educational institution.</w:t>
      </w:r>
    </w:p>
    <w:p w14:paraId="11A89427" w14:textId="77777777" w:rsidR="007409E2" w:rsidRPr="005D5ADF" w:rsidRDefault="007409E2" w:rsidP="005A2184">
      <w:pPr>
        <w:pStyle w:val="REG-P0"/>
      </w:pPr>
    </w:p>
    <w:p w14:paraId="0B485963" w14:textId="77777777" w:rsidR="007409E2" w:rsidRPr="005D5ADF" w:rsidRDefault="007409E2" w:rsidP="005A2184">
      <w:pPr>
        <w:pStyle w:val="REG-P1"/>
      </w:pPr>
      <w:r w:rsidRPr="005D5ADF">
        <w:t>(7)</w:t>
      </w:r>
      <w:r w:rsidRPr="005D5ADF">
        <w:tab/>
        <w:t>Subregulation (6) applies to both the clinical or practical part and the theoretical part of the examinations.</w:t>
      </w:r>
    </w:p>
    <w:p w14:paraId="7199EDCC" w14:textId="77777777" w:rsidR="007409E2" w:rsidRPr="005D5ADF" w:rsidRDefault="007409E2" w:rsidP="005A2184">
      <w:pPr>
        <w:pStyle w:val="REG-P1"/>
      </w:pPr>
    </w:p>
    <w:p w14:paraId="3944AC36" w14:textId="77777777" w:rsidR="007409E2" w:rsidRPr="005D5ADF" w:rsidRDefault="007409E2" w:rsidP="005A2184">
      <w:pPr>
        <w:pStyle w:val="REG-P1"/>
      </w:pPr>
      <w:r w:rsidRPr="005D5ADF">
        <w:t>(8)</w:t>
      </w:r>
      <w:r w:rsidRPr="005D5ADF">
        <w:tab/>
        <w:t>The examiners referred to in subregulation (4) must take into account, in order to ensure the continued evaluation of a student, the documented records of the work done by a student throughout the course of study, including work done in optional subjects and projects.</w:t>
      </w:r>
    </w:p>
    <w:p w14:paraId="1A8F6C43" w14:textId="77777777" w:rsidR="007409E2" w:rsidRPr="005D5ADF" w:rsidRDefault="007409E2" w:rsidP="005A2184">
      <w:pPr>
        <w:pStyle w:val="REG-P1"/>
      </w:pPr>
    </w:p>
    <w:p w14:paraId="0B38F540" w14:textId="77777777" w:rsidR="007409E2" w:rsidRPr="005D5ADF" w:rsidRDefault="007409E2" w:rsidP="005A2184">
      <w:pPr>
        <w:pStyle w:val="REG-P1"/>
      </w:pPr>
      <w:r w:rsidRPr="005D5ADF">
        <w:t>(9)</w:t>
      </w:r>
      <w:r w:rsidRPr="005D5ADF">
        <w:tab/>
        <w:t>The final academic examinations conducted by the examiners referred to in subregulation (4) must be so conducted in respect of all the main clinical subjects.</w:t>
      </w:r>
    </w:p>
    <w:p w14:paraId="2325407D" w14:textId="77777777" w:rsidR="007409E2" w:rsidRPr="005D5ADF" w:rsidRDefault="007409E2" w:rsidP="005A2184">
      <w:pPr>
        <w:pStyle w:val="REG-P0"/>
      </w:pPr>
    </w:p>
    <w:p w14:paraId="296149FB" w14:textId="77777777" w:rsidR="004E07A4" w:rsidRPr="005D5ADF" w:rsidRDefault="004E07A4" w:rsidP="005A2184">
      <w:pPr>
        <w:pStyle w:val="REG-H3A"/>
      </w:pPr>
      <w:r w:rsidRPr="005D5ADF">
        <w:br w:type="column"/>
      </w:r>
    </w:p>
    <w:p w14:paraId="3E29A852" w14:textId="77777777" w:rsidR="004E07A4" w:rsidRPr="005D5ADF" w:rsidRDefault="004E07A4" w:rsidP="005A2184">
      <w:pPr>
        <w:pStyle w:val="REG-H3A"/>
      </w:pPr>
    </w:p>
    <w:p w14:paraId="6727C3A4" w14:textId="145FE6E5" w:rsidR="007409E2" w:rsidRPr="005D5ADF" w:rsidRDefault="007409E2" w:rsidP="005A2184">
      <w:pPr>
        <w:pStyle w:val="REG-H3A"/>
        <w:rPr>
          <w:bCs/>
        </w:rPr>
      </w:pPr>
      <w:r w:rsidRPr="005D5ADF">
        <w:t>ANNEXURE</w:t>
      </w:r>
    </w:p>
    <w:p w14:paraId="7B89484F" w14:textId="77777777" w:rsidR="007409E2" w:rsidRPr="005D5ADF" w:rsidRDefault="007409E2" w:rsidP="005A2184">
      <w:pPr>
        <w:pStyle w:val="REG-P0"/>
      </w:pPr>
    </w:p>
    <w:p w14:paraId="5CA807D1" w14:textId="77777777" w:rsidR="007409E2" w:rsidRPr="005D5ADF" w:rsidRDefault="007409E2" w:rsidP="005A2184">
      <w:pPr>
        <w:pStyle w:val="REG-P0"/>
      </w:pPr>
      <w:r w:rsidRPr="005D5ADF">
        <w:rPr>
          <w:b/>
          <w:bCs/>
        </w:rPr>
        <w:t>Minimum curriculum for dentistry</w:t>
      </w:r>
    </w:p>
    <w:p w14:paraId="3540C65A" w14:textId="77777777" w:rsidR="007409E2" w:rsidRPr="005D5ADF" w:rsidRDefault="007409E2" w:rsidP="005A2184">
      <w:pPr>
        <w:pStyle w:val="REG-P0"/>
      </w:pPr>
    </w:p>
    <w:p w14:paraId="110633FA" w14:textId="77777777" w:rsidR="007409E2" w:rsidRPr="005D5ADF" w:rsidRDefault="007409E2" w:rsidP="005A2184">
      <w:pPr>
        <w:pStyle w:val="REG-P0"/>
        <w:ind w:left="567" w:hanging="567"/>
      </w:pPr>
      <w:r w:rsidRPr="005D5ADF">
        <w:rPr>
          <w:b/>
          <w:bCs/>
        </w:rPr>
        <w:t>1.</w:t>
      </w:r>
      <w:r w:rsidRPr="005D5ADF">
        <w:rPr>
          <w:b/>
          <w:bCs/>
        </w:rPr>
        <w:tab/>
      </w:r>
      <w:r w:rsidRPr="005D5ADF">
        <w:t>The minimum curriculum for the purpose of obtaining the qualification contemplated in regulation 2(1), must include the following subjects:</w:t>
      </w:r>
    </w:p>
    <w:p w14:paraId="3604CA06" w14:textId="77777777" w:rsidR="007409E2" w:rsidRPr="005D5ADF" w:rsidRDefault="007409E2" w:rsidP="005A2184">
      <w:pPr>
        <w:pStyle w:val="REG-P0"/>
      </w:pPr>
    </w:p>
    <w:tbl>
      <w:tblPr>
        <w:tblW w:w="0" w:type="auto"/>
        <w:tblInd w:w="5" w:type="dxa"/>
        <w:tblLayout w:type="fixed"/>
        <w:tblCellMar>
          <w:top w:w="85" w:type="dxa"/>
          <w:left w:w="0" w:type="dxa"/>
          <w:bottom w:w="85" w:type="dxa"/>
          <w:right w:w="0" w:type="dxa"/>
        </w:tblCellMar>
        <w:tblLook w:val="01E0" w:firstRow="1" w:lastRow="1" w:firstColumn="1" w:lastColumn="1" w:noHBand="0" w:noVBand="0"/>
      </w:tblPr>
      <w:tblGrid>
        <w:gridCol w:w="6804"/>
        <w:gridCol w:w="1701"/>
      </w:tblGrid>
      <w:tr w:rsidR="00F95381" w:rsidRPr="005D5ADF" w14:paraId="00CB7514" w14:textId="77777777" w:rsidTr="00554D16">
        <w:tc>
          <w:tcPr>
            <w:tcW w:w="6804" w:type="dxa"/>
          </w:tcPr>
          <w:p w14:paraId="70C7179A" w14:textId="77777777" w:rsidR="00F95381" w:rsidRPr="005D5ADF" w:rsidRDefault="00F95381" w:rsidP="005A2184">
            <w:pPr>
              <w:pStyle w:val="REG-P0"/>
              <w:rPr>
                <w:b/>
              </w:rPr>
            </w:pPr>
            <w:r w:rsidRPr="005D5ADF">
              <w:rPr>
                <w:b/>
              </w:rPr>
              <w:t>SUBJECT</w:t>
            </w:r>
          </w:p>
        </w:tc>
        <w:tc>
          <w:tcPr>
            <w:tcW w:w="1701" w:type="dxa"/>
          </w:tcPr>
          <w:p w14:paraId="20E15D77" w14:textId="77777777" w:rsidR="00F95381" w:rsidRPr="005D5ADF" w:rsidRDefault="00F95381" w:rsidP="005A2184">
            <w:pPr>
              <w:pStyle w:val="REG-P0"/>
              <w:jc w:val="center"/>
              <w:rPr>
                <w:b/>
              </w:rPr>
            </w:pPr>
            <w:r w:rsidRPr="005D5ADF">
              <w:rPr>
                <w:b/>
              </w:rPr>
              <w:t xml:space="preserve">TOTAL HOURS </w:t>
            </w:r>
            <w:r w:rsidRPr="005D5ADF">
              <w:rPr>
                <w:b/>
                <w:bCs/>
              </w:rPr>
              <w:t>OF TUITION AND TRAINING</w:t>
            </w:r>
          </w:p>
        </w:tc>
      </w:tr>
      <w:tr w:rsidR="00F95381" w:rsidRPr="005D5ADF" w14:paraId="1ADE2758" w14:textId="77777777" w:rsidTr="00554D16">
        <w:tc>
          <w:tcPr>
            <w:tcW w:w="6804" w:type="dxa"/>
          </w:tcPr>
          <w:p w14:paraId="18572163" w14:textId="77777777" w:rsidR="00F95381" w:rsidRPr="005D5ADF" w:rsidRDefault="00F95381" w:rsidP="005A2184">
            <w:pPr>
              <w:pStyle w:val="REG-P0"/>
              <w:ind w:left="567" w:hanging="567"/>
              <w:jc w:val="left"/>
            </w:pPr>
            <w:r w:rsidRPr="005D5ADF">
              <w:t>(a)</w:t>
            </w:r>
            <w:r w:rsidRPr="005D5ADF">
              <w:tab/>
              <w:t>Chemistry, including Science and World Views:</w:t>
            </w:r>
          </w:p>
        </w:tc>
        <w:tc>
          <w:tcPr>
            <w:tcW w:w="1701" w:type="dxa"/>
            <w:vAlign w:val="bottom"/>
          </w:tcPr>
          <w:p w14:paraId="61A89161" w14:textId="77777777" w:rsidR="00F95381" w:rsidRPr="005D5ADF" w:rsidRDefault="00F95381" w:rsidP="005A2184">
            <w:pPr>
              <w:pStyle w:val="REG-P0"/>
              <w:jc w:val="right"/>
            </w:pPr>
            <w:r w:rsidRPr="005D5ADF">
              <w:t>220</w:t>
            </w:r>
          </w:p>
        </w:tc>
      </w:tr>
      <w:tr w:rsidR="00F95381" w:rsidRPr="005D5ADF" w14:paraId="127B3E02" w14:textId="77777777" w:rsidTr="00554D16">
        <w:tc>
          <w:tcPr>
            <w:tcW w:w="6804" w:type="dxa"/>
          </w:tcPr>
          <w:p w14:paraId="579828BE" w14:textId="77777777" w:rsidR="00F95381" w:rsidRPr="005D5ADF" w:rsidRDefault="00F95381" w:rsidP="005A2184">
            <w:pPr>
              <w:pStyle w:val="REG-P0"/>
              <w:ind w:left="567" w:hanging="567"/>
              <w:jc w:val="left"/>
            </w:pPr>
            <w:r w:rsidRPr="005D5ADF">
              <w:t>(b)</w:t>
            </w:r>
            <w:r w:rsidRPr="005D5ADF">
              <w:tab/>
              <w:t>Physics:</w:t>
            </w:r>
          </w:p>
        </w:tc>
        <w:tc>
          <w:tcPr>
            <w:tcW w:w="1701" w:type="dxa"/>
            <w:vAlign w:val="bottom"/>
          </w:tcPr>
          <w:p w14:paraId="035FEFB2" w14:textId="77777777" w:rsidR="00F95381" w:rsidRPr="005D5ADF" w:rsidRDefault="00F95381" w:rsidP="005A2184">
            <w:pPr>
              <w:pStyle w:val="REG-P0"/>
              <w:jc w:val="right"/>
            </w:pPr>
            <w:r w:rsidRPr="005D5ADF">
              <w:t>160</w:t>
            </w:r>
          </w:p>
        </w:tc>
      </w:tr>
      <w:tr w:rsidR="00F95381" w:rsidRPr="005D5ADF" w14:paraId="276EC8B5" w14:textId="77777777" w:rsidTr="00554D16">
        <w:tc>
          <w:tcPr>
            <w:tcW w:w="6804" w:type="dxa"/>
          </w:tcPr>
          <w:p w14:paraId="1D068B00" w14:textId="77777777" w:rsidR="00F95381" w:rsidRPr="005D5ADF" w:rsidRDefault="00F95381" w:rsidP="005A2184">
            <w:pPr>
              <w:pStyle w:val="REG-P0"/>
              <w:ind w:left="567" w:hanging="567"/>
              <w:jc w:val="left"/>
            </w:pPr>
            <w:r w:rsidRPr="005D5ADF">
              <w:t>(c)</w:t>
            </w:r>
            <w:r w:rsidRPr="005D5ADF">
              <w:tab/>
              <w:t>People and their environment:</w:t>
            </w:r>
          </w:p>
        </w:tc>
        <w:tc>
          <w:tcPr>
            <w:tcW w:w="1701" w:type="dxa"/>
            <w:vAlign w:val="bottom"/>
          </w:tcPr>
          <w:p w14:paraId="1F0F424A" w14:textId="77777777" w:rsidR="00F95381" w:rsidRPr="005D5ADF" w:rsidRDefault="00F95381" w:rsidP="005A2184">
            <w:pPr>
              <w:pStyle w:val="REG-P0"/>
              <w:jc w:val="right"/>
            </w:pPr>
            <w:r w:rsidRPr="005D5ADF">
              <w:t>460</w:t>
            </w:r>
          </w:p>
        </w:tc>
      </w:tr>
      <w:tr w:rsidR="00F95381" w:rsidRPr="005D5ADF" w14:paraId="0BDD1D29" w14:textId="77777777" w:rsidTr="00554D16">
        <w:tc>
          <w:tcPr>
            <w:tcW w:w="6804" w:type="dxa"/>
          </w:tcPr>
          <w:p w14:paraId="60168797" w14:textId="77777777" w:rsidR="00F95381" w:rsidRPr="005D5ADF" w:rsidRDefault="00F95381" w:rsidP="005A2184">
            <w:pPr>
              <w:pStyle w:val="REG-P0"/>
              <w:ind w:left="567" w:hanging="567"/>
              <w:jc w:val="left"/>
            </w:pPr>
            <w:r w:rsidRPr="005D5ADF">
              <w:t>(d)</w:t>
            </w:r>
            <w:r w:rsidRPr="005D5ADF">
              <w:tab/>
              <w:t>Human Anatomy, including Medical Terminology and Dissection:</w:t>
            </w:r>
          </w:p>
        </w:tc>
        <w:tc>
          <w:tcPr>
            <w:tcW w:w="1701" w:type="dxa"/>
            <w:vAlign w:val="bottom"/>
          </w:tcPr>
          <w:p w14:paraId="5B5CA2C4" w14:textId="77777777" w:rsidR="00F95381" w:rsidRPr="005D5ADF" w:rsidRDefault="00F95381" w:rsidP="005A2184">
            <w:pPr>
              <w:pStyle w:val="REG-P0"/>
              <w:jc w:val="right"/>
            </w:pPr>
            <w:r w:rsidRPr="005D5ADF">
              <w:t>410</w:t>
            </w:r>
          </w:p>
        </w:tc>
      </w:tr>
      <w:tr w:rsidR="00F95381" w:rsidRPr="005D5ADF" w14:paraId="3BAE7E30" w14:textId="77777777" w:rsidTr="00554D16">
        <w:tc>
          <w:tcPr>
            <w:tcW w:w="6804" w:type="dxa"/>
          </w:tcPr>
          <w:p w14:paraId="3CB46D36" w14:textId="77777777" w:rsidR="00F95381" w:rsidRPr="005D5ADF" w:rsidRDefault="00F95381" w:rsidP="005A2184">
            <w:pPr>
              <w:pStyle w:val="REG-P0"/>
              <w:ind w:left="567" w:hanging="567"/>
              <w:jc w:val="left"/>
            </w:pPr>
            <w:r w:rsidRPr="005D5ADF">
              <w:t>(e)</w:t>
            </w:r>
            <w:r w:rsidRPr="005D5ADF">
              <w:tab/>
            </w:r>
            <w:r w:rsidRPr="005D5ADF">
              <w:rPr>
                <w:spacing w:val="-2"/>
              </w:rPr>
              <w:t>Homeostase, including Human Physiology (applied) and Biochemistry:</w:t>
            </w:r>
          </w:p>
        </w:tc>
        <w:tc>
          <w:tcPr>
            <w:tcW w:w="1701" w:type="dxa"/>
            <w:vAlign w:val="bottom"/>
          </w:tcPr>
          <w:p w14:paraId="70CE76BF" w14:textId="77777777" w:rsidR="00F95381" w:rsidRPr="005D5ADF" w:rsidRDefault="00F95381" w:rsidP="005A2184">
            <w:pPr>
              <w:pStyle w:val="REG-P0"/>
              <w:jc w:val="right"/>
            </w:pPr>
            <w:r w:rsidRPr="005D5ADF">
              <w:t>520</w:t>
            </w:r>
          </w:p>
        </w:tc>
      </w:tr>
      <w:tr w:rsidR="00F95381" w:rsidRPr="005D5ADF" w14:paraId="72D1930F" w14:textId="77777777" w:rsidTr="00554D16">
        <w:tc>
          <w:tcPr>
            <w:tcW w:w="6804" w:type="dxa"/>
          </w:tcPr>
          <w:p w14:paraId="302BDA92" w14:textId="77777777" w:rsidR="00F95381" w:rsidRPr="005D5ADF" w:rsidRDefault="00F95381" w:rsidP="005A2184">
            <w:pPr>
              <w:pStyle w:val="REG-P0"/>
              <w:ind w:left="567" w:hanging="567"/>
              <w:jc w:val="left"/>
            </w:pPr>
            <w:r w:rsidRPr="005D5ADF">
              <w:t>(f)</w:t>
            </w:r>
            <w:r w:rsidRPr="005D5ADF">
              <w:tab/>
              <w:t>Human Histology and Cell Biology: Molecular and Cell Biology, Molecule to Organism:</w:t>
            </w:r>
          </w:p>
        </w:tc>
        <w:tc>
          <w:tcPr>
            <w:tcW w:w="1701" w:type="dxa"/>
            <w:vAlign w:val="bottom"/>
          </w:tcPr>
          <w:p w14:paraId="1D6CD26E" w14:textId="77777777" w:rsidR="00F95381" w:rsidRPr="005D5ADF" w:rsidRDefault="00F95381" w:rsidP="005A2184">
            <w:pPr>
              <w:pStyle w:val="REG-P0"/>
              <w:jc w:val="right"/>
            </w:pPr>
            <w:r w:rsidRPr="005D5ADF">
              <w:t>560</w:t>
            </w:r>
          </w:p>
        </w:tc>
      </w:tr>
      <w:tr w:rsidR="00F95381" w:rsidRPr="005D5ADF" w14:paraId="7A674035" w14:textId="77777777" w:rsidTr="00554D16">
        <w:tc>
          <w:tcPr>
            <w:tcW w:w="6804" w:type="dxa"/>
          </w:tcPr>
          <w:p w14:paraId="6D03A321" w14:textId="77777777" w:rsidR="00F95381" w:rsidRPr="005D5ADF" w:rsidRDefault="00F95381" w:rsidP="005A2184">
            <w:pPr>
              <w:pStyle w:val="REG-P0"/>
              <w:ind w:left="567" w:hanging="567"/>
              <w:jc w:val="left"/>
            </w:pPr>
            <w:r w:rsidRPr="005D5ADF">
              <w:t>(g)</w:t>
            </w:r>
            <w:r w:rsidRPr="005D5ADF">
              <w:tab/>
              <w:t>Pharmacology: Introduction to Pharmacology, Clinical Pharmacology and Generic Procedural Skills:</w:t>
            </w:r>
          </w:p>
        </w:tc>
        <w:tc>
          <w:tcPr>
            <w:tcW w:w="1701" w:type="dxa"/>
            <w:vAlign w:val="bottom"/>
          </w:tcPr>
          <w:p w14:paraId="3F960C6B" w14:textId="77777777" w:rsidR="00F95381" w:rsidRPr="005D5ADF" w:rsidRDefault="00F95381" w:rsidP="005A2184">
            <w:pPr>
              <w:pStyle w:val="REG-P0"/>
              <w:jc w:val="right"/>
            </w:pPr>
            <w:r w:rsidRPr="005D5ADF">
              <w:t>180</w:t>
            </w:r>
          </w:p>
        </w:tc>
      </w:tr>
      <w:tr w:rsidR="00F95381" w:rsidRPr="005D5ADF" w14:paraId="5D2DA8F3" w14:textId="77777777" w:rsidTr="00554D16">
        <w:tc>
          <w:tcPr>
            <w:tcW w:w="6804" w:type="dxa"/>
          </w:tcPr>
          <w:p w14:paraId="66171B33" w14:textId="77777777" w:rsidR="00F95381" w:rsidRPr="005D5ADF" w:rsidRDefault="00F95381" w:rsidP="005A2184">
            <w:pPr>
              <w:pStyle w:val="REG-P0"/>
              <w:ind w:left="567" w:hanging="567"/>
              <w:jc w:val="left"/>
            </w:pPr>
            <w:r w:rsidRPr="005D5ADF">
              <w:t>(h)</w:t>
            </w:r>
            <w:r w:rsidRPr="005D5ADF">
              <w:tab/>
              <w:t>Pathology:</w:t>
            </w:r>
          </w:p>
        </w:tc>
        <w:tc>
          <w:tcPr>
            <w:tcW w:w="1701" w:type="dxa"/>
            <w:vAlign w:val="bottom"/>
          </w:tcPr>
          <w:p w14:paraId="1F7B6DBD" w14:textId="77777777" w:rsidR="00F95381" w:rsidRPr="005D5ADF" w:rsidRDefault="00F95381" w:rsidP="005A2184">
            <w:pPr>
              <w:pStyle w:val="REG-P0"/>
              <w:jc w:val="right"/>
            </w:pPr>
            <w:r w:rsidRPr="005D5ADF">
              <w:t>450</w:t>
            </w:r>
          </w:p>
        </w:tc>
      </w:tr>
      <w:tr w:rsidR="00F95381" w:rsidRPr="005D5ADF" w14:paraId="4A4AB9D9" w14:textId="77777777" w:rsidTr="00554D16">
        <w:tc>
          <w:tcPr>
            <w:tcW w:w="6804" w:type="dxa"/>
          </w:tcPr>
          <w:p w14:paraId="3BB76272" w14:textId="77777777" w:rsidR="00F95381" w:rsidRPr="005D5ADF" w:rsidRDefault="00F95381" w:rsidP="005A2184">
            <w:pPr>
              <w:pStyle w:val="REG-P0"/>
              <w:ind w:left="567" w:hanging="567"/>
              <w:jc w:val="left"/>
            </w:pPr>
            <w:r w:rsidRPr="005D5ADF">
              <w:t>(i)</w:t>
            </w:r>
            <w:r w:rsidRPr="005D5ADF">
              <w:tab/>
              <w:t>Practice Management:</w:t>
            </w:r>
          </w:p>
        </w:tc>
        <w:tc>
          <w:tcPr>
            <w:tcW w:w="1701" w:type="dxa"/>
            <w:vAlign w:val="bottom"/>
          </w:tcPr>
          <w:p w14:paraId="05488609" w14:textId="77777777" w:rsidR="00F95381" w:rsidRPr="005D5ADF" w:rsidRDefault="00F95381" w:rsidP="005A2184">
            <w:pPr>
              <w:pStyle w:val="REG-P0"/>
              <w:jc w:val="right"/>
            </w:pPr>
            <w:r w:rsidRPr="005D5ADF">
              <w:t>220</w:t>
            </w:r>
          </w:p>
        </w:tc>
      </w:tr>
      <w:tr w:rsidR="00F95381" w:rsidRPr="005D5ADF" w14:paraId="636156E5" w14:textId="77777777" w:rsidTr="00554D16">
        <w:tc>
          <w:tcPr>
            <w:tcW w:w="6804" w:type="dxa"/>
          </w:tcPr>
          <w:p w14:paraId="2FC8849D" w14:textId="77777777" w:rsidR="00F95381" w:rsidRPr="005D5ADF" w:rsidRDefault="00F95381" w:rsidP="005A2184">
            <w:pPr>
              <w:pStyle w:val="REG-P0"/>
              <w:ind w:left="567" w:hanging="567"/>
              <w:jc w:val="left"/>
            </w:pPr>
            <w:r w:rsidRPr="005D5ADF">
              <w:t>(j)</w:t>
            </w:r>
            <w:r w:rsidRPr="005D5ADF">
              <w:tab/>
              <w:t>Maxillo Facial and Oral Surgery Applied Head and Neck Anatomy, Oro-facial Surgery:</w:t>
            </w:r>
          </w:p>
        </w:tc>
        <w:tc>
          <w:tcPr>
            <w:tcW w:w="1701" w:type="dxa"/>
            <w:vAlign w:val="bottom"/>
          </w:tcPr>
          <w:p w14:paraId="3A943927" w14:textId="77777777" w:rsidR="00F95381" w:rsidRPr="005D5ADF" w:rsidRDefault="00F95381" w:rsidP="005A2184">
            <w:pPr>
              <w:pStyle w:val="REG-P0"/>
              <w:jc w:val="right"/>
            </w:pPr>
            <w:r w:rsidRPr="005D5ADF">
              <w:t>1070</w:t>
            </w:r>
          </w:p>
        </w:tc>
      </w:tr>
      <w:tr w:rsidR="00F95381" w:rsidRPr="005D5ADF" w14:paraId="191C730C" w14:textId="77777777" w:rsidTr="00554D16">
        <w:tc>
          <w:tcPr>
            <w:tcW w:w="6804" w:type="dxa"/>
          </w:tcPr>
          <w:p w14:paraId="284F8535" w14:textId="77777777" w:rsidR="00F95381" w:rsidRPr="005D5ADF" w:rsidRDefault="00F95381" w:rsidP="005A2184">
            <w:pPr>
              <w:pStyle w:val="REG-P0"/>
              <w:ind w:left="567" w:hanging="567"/>
              <w:jc w:val="left"/>
            </w:pPr>
            <w:r w:rsidRPr="005D5ADF">
              <w:t>(k)</w:t>
            </w:r>
            <w:r w:rsidRPr="005D5ADF">
              <w:tab/>
              <w:t>Orthodontics: Dentofacial Anomalies:</w:t>
            </w:r>
          </w:p>
        </w:tc>
        <w:tc>
          <w:tcPr>
            <w:tcW w:w="1701" w:type="dxa"/>
            <w:vAlign w:val="bottom"/>
          </w:tcPr>
          <w:p w14:paraId="0DB5F8F4" w14:textId="77777777" w:rsidR="00F95381" w:rsidRPr="005D5ADF" w:rsidRDefault="00F95381" w:rsidP="005A2184">
            <w:pPr>
              <w:pStyle w:val="REG-P0"/>
              <w:jc w:val="right"/>
            </w:pPr>
            <w:r w:rsidRPr="005D5ADF">
              <w:t>490</w:t>
            </w:r>
          </w:p>
        </w:tc>
      </w:tr>
      <w:tr w:rsidR="00F95381" w:rsidRPr="005D5ADF" w14:paraId="41A4564F" w14:textId="77777777" w:rsidTr="00554D16">
        <w:tc>
          <w:tcPr>
            <w:tcW w:w="6804" w:type="dxa"/>
          </w:tcPr>
          <w:p w14:paraId="737654FE" w14:textId="77777777" w:rsidR="00F95381" w:rsidRPr="005D5ADF" w:rsidRDefault="00F95381" w:rsidP="005A2184">
            <w:pPr>
              <w:pStyle w:val="REG-P0"/>
              <w:ind w:left="567" w:hanging="567"/>
              <w:jc w:val="left"/>
            </w:pPr>
            <w:r w:rsidRPr="005D5ADF">
              <w:t>(l)</w:t>
            </w:r>
            <w:r w:rsidRPr="005D5ADF">
              <w:tab/>
              <w:t>Radiography:</w:t>
            </w:r>
          </w:p>
        </w:tc>
        <w:tc>
          <w:tcPr>
            <w:tcW w:w="1701" w:type="dxa"/>
            <w:vAlign w:val="bottom"/>
          </w:tcPr>
          <w:p w14:paraId="1DA798F9" w14:textId="77777777" w:rsidR="00F95381" w:rsidRPr="005D5ADF" w:rsidRDefault="00F95381" w:rsidP="005A2184">
            <w:pPr>
              <w:pStyle w:val="REG-P0"/>
              <w:jc w:val="right"/>
            </w:pPr>
            <w:r w:rsidRPr="005D5ADF">
              <w:t>80</w:t>
            </w:r>
          </w:p>
        </w:tc>
      </w:tr>
      <w:tr w:rsidR="00F95381" w:rsidRPr="005D5ADF" w14:paraId="102066A5" w14:textId="77777777" w:rsidTr="00554D16">
        <w:tc>
          <w:tcPr>
            <w:tcW w:w="6804" w:type="dxa"/>
          </w:tcPr>
          <w:p w14:paraId="588FE3F9" w14:textId="77777777" w:rsidR="00F95381" w:rsidRPr="005D5ADF" w:rsidRDefault="00F95381" w:rsidP="005A2184">
            <w:pPr>
              <w:pStyle w:val="REG-P0"/>
              <w:ind w:left="567" w:hanging="567"/>
              <w:jc w:val="left"/>
            </w:pPr>
            <w:r w:rsidRPr="005D5ADF">
              <w:t>(m)</w:t>
            </w:r>
            <w:r w:rsidRPr="005D5ADF">
              <w:tab/>
              <w:t>Oral Medicine and Periodontics: Periodontology and Clinical Oral Medicine:</w:t>
            </w:r>
          </w:p>
        </w:tc>
        <w:tc>
          <w:tcPr>
            <w:tcW w:w="1701" w:type="dxa"/>
            <w:vAlign w:val="bottom"/>
          </w:tcPr>
          <w:p w14:paraId="2329A80B" w14:textId="77777777" w:rsidR="00F95381" w:rsidRPr="005D5ADF" w:rsidRDefault="00F95381" w:rsidP="005A2184">
            <w:pPr>
              <w:pStyle w:val="REG-P0"/>
              <w:jc w:val="right"/>
            </w:pPr>
            <w:r w:rsidRPr="005D5ADF">
              <w:t>370</w:t>
            </w:r>
          </w:p>
        </w:tc>
      </w:tr>
      <w:tr w:rsidR="00F95381" w:rsidRPr="005D5ADF" w14:paraId="594248F4" w14:textId="77777777" w:rsidTr="00554D16">
        <w:tc>
          <w:tcPr>
            <w:tcW w:w="6804" w:type="dxa"/>
          </w:tcPr>
          <w:p w14:paraId="460E87B5" w14:textId="77777777" w:rsidR="00F95381" w:rsidRPr="005D5ADF" w:rsidRDefault="00F95381" w:rsidP="005A2184">
            <w:pPr>
              <w:pStyle w:val="REG-P0"/>
              <w:ind w:left="567" w:hanging="567"/>
              <w:jc w:val="left"/>
            </w:pPr>
            <w:r w:rsidRPr="005D5ADF">
              <w:t>(n)</w:t>
            </w:r>
            <w:r w:rsidRPr="005D5ADF">
              <w:tab/>
              <w:t>Prosthetic Dentistry, restricted to Removable Dentures:</w:t>
            </w:r>
          </w:p>
        </w:tc>
        <w:tc>
          <w:tcPr>
            <w:tcW w:w="1701" w:type="dxa"/>
            <w:vAlign w:val="bottom"/>
          </w:tcPr>
          <w:p w14:paraId="3678F456" w14:textId="77777777" w:rsidR="00F95381" w:rsidRPr="005D5ADF" w:rsidRDefault="00F95381" w:rsidP="005A2184">
            <w:pPr>
              <w:pStyle w:val="REG-P0"/>
              <w:jc w:val="right"/>
            </w:pPr>
            <w:r w:rsidRPr="005D5ADF">
              <w:t>930</w:t>
            </w:r>
          </w:p>
        </w:tc>
      </w:tr>
      <w:tr w:rsidR="00F95381" w:rsidRPr="005D5ADF" w14:paraId="4AA3A7B8" w14:textId="77777777" w:rsidTr="00554D16">
        <w:tc>
          <w:tcPr>
            <w:tcW w:w="6804" w:type="dxa"/>
          </w:tcPr>
          <w:p w14:paraId="5EF59DF1" w14:textId="77777777" w:rsidR="00F95381" w:rsidRPr="005D5ADF" w:rsidRDefault="00F95381" w:rsidP="005A2184">
            <w:pPr>
              <w:pStyle w:val="REG-P0"/>
              <w:ind w:left="567" w:hanging="567"/>
              <w:jc w:val="left"/>
            </w:pPr>
            <w:r w:rsidRPr="005D5ADF">
              <w:t>(o)</w:t>
            </w:r>
            <w:r w:rsidRPr="005D5ADF">
              <w:tab/>
              <w:t>Community Dentistry:</w:t>
            </w:r>
          </w:p>
        </w:tc>
        <w:tc>
          <w:tcPr>
            <w:tcW w:w="1701" w:type="dxa"/>
            <w:vAlign w:val="bottom"/>
          </w:tcPr>
          <w:p w14:paraId="0FB91692" w14:textId="77777777" w:rsidR="00F95381" w:rsidRPr="005D5ADF" w:rsidRDefault="00F95381" w:rsidP="005A2184">
            <w:pPr>
              <w:pStyle w:val="REG-P0"/>
              <w:jc w:val="right"/>
            </w:pPr>
            <w:r w:rsidRPr="005D5ADF">
              <w:t>100</w:t>
            </w:r>
          </w:p>
        </w:tc>
      </w:tr>
      <w:tr w:rsidR="00F95381" w:rsidRPr="005D5ADF" w14:paraId="2DFEE190" w14:textId="77777777" w:rsidTr="00554D16">
        <w:tc>
          <w:tcPr>
            <w:tcW w:w="6804" w:type="dxa"/>
          </w:tcPr>
          <w:p w14:paraId="03661F08" w14:textId="77777777" w:rsidR="00F95381" w:rsidRPr="005D5ADF" w:rsidRDefault="00F95381" w:rsidP="005A2184">
            <w:pPr>
              <w:pStyle w:val="REG-P0"/>
              <w:ind w:left="567" w:hanging="567"/>
              <w:jc w:val="left"/>
            </w:pPr>
            <w:r w:rsidRPr="005D5ADF">
              <w:t>(p)</w:t>
            </w:r>
            <w:r w:rsidRPr="005D5ADF">
              <w:tab/>
              <w:t>Oral Biology:</w:t>
            </w:r>
          </w:p>
        </w:tc>
        <w:tc>
          <w:tcPr>
            <w:tcW w:w="1701" w:type="dxa"/>
            <w:vAlign w:val="bottom"/>
          </w:tcPr>
          <w:p w14:paraId="7FC11992" w14:textId="77777777" w:rsidR="00F95381" w:rsidRPr="005D5ADF" w:rsidRDefault="00F95381" w:rsidP="005A2184">
            <w:pPr>
              <w:pStyle w:val="REG-P0"/>
              <w:jc w:val="right"/>
            </w:pPr>
            <w:r w:rsidRPr="005D5ADF">
              <w:t>110</w:t>
            </w:r>
          </w:p>
        </w:tc>
      </w:tr>
      <w:tr w:rsidR="00F95381" w:rsidRPr="005D5ADF" w14:paraId="29A26CBD" w14:textId="77777777" w:rsidTr="00554D16">
        <w:tc>
          <w:tcPr>
            <w:tcW w:w="6804" w:type="dxa"/>
          </w:tcPr>
          <w:p w14:paraId="26201DF7" w14:textId="77777777" w:rsidR="00F95381" w:rsidRPr="005D5ADF" w:rsidRDefault="00F95381" w:rsidP="005A2184">
            <w:pPr>
              <w:pStyle w:val="REG-P0"/>
              <w:ind w:left="567" w:hanging="567"/>
              <w:jc w:val="left"/>
            </w:pPr>
            <w:r w:rsidRPr="005D5ADF">
              <w:t>(q)</w:t>
            </w:r>
            <w:r w:rsidRPr="005D5ADF">
              <w:tab/>
              <w:t>Maxillo Facial Pathology:</w:t>
            </w:r>
          </w:p>
        </w:tc>
        <w:tc>
          <w:tcPr>
            <w:tcW w:w="1701" w:type="dxa"/>
            <w:vAlign w:val="bottom"/>
          </w:tcPr>
          <w:p w14:paraId="392A5F9A" w14:textId="77777777" w:rsidR="00F95381" w:rsidRPr="005D5ADF" w:rsidRDefault="00F95381" w:rsidP="005A2184">
            <w:pPr>
              <w:pStyle w:val="REG-P0"/>
              <w:jc w:val="right"/>
            </w:pPr>
            <w:r w:rsidRPr="005D5ADF">
              <w:t>320</w:t>
            </w:r>
          </w:p>
        </w:tc>
      </w:tr>
      <w:tr w:rsidR="00F95381" w:rsidRPr="005D5ADF" w14:paraId="3E088C94" w14:textId="77777777" w:rsidTr="00554D16">
        <w:tc>
          <w:tcPr>
            <w:tcW w:w="6804" w:type="dxa"/>
          </w:tcPr>
          <w:p w14:paraId="573267AD" w14:textId="77777777" w:rsidR="00F95381" w:rsidRPr="005D5ADF" w:rsidRDefault="00F95381" w:rsidP="005A2184">
            <w:pPr>
              <w:pStyle w:val="REG-P0"/>
              <w:ind w:left="567" w:hanging="567"/>
              <w:jc w:val="left"/>
            </w:pPr>
            <w:r w:rsidRPr="005D5ADF">
              <w:t>(r)</w:t>
            </w:r>
            <w:r w:rsidRPr="005D5ADF">
              <w:tab/>
              <w:t>Clinical Dentistry: Introduction to Clinical Medicine and Comprehensive Patient Care:</w:t>
            </w:r>
          </w:p>
        </w:tc>
        <w:tc>
          <w:tcPr>
            <w:tcW w:w="1701" w:type="dxa"/>
            <w:vAlign w:val="bottom"/>
          </w:tcPr>
          <w:p w14:paraId="43C02998" w14:textId="77777777" w:rsidR="00F95381" w:rsidRPr="005D5ADF" w:rsidRDefault="00F95381" w:rsidP="005A2184">
            <w:pPr>
              <w:pStyle w:val="REG-P0"/>
              <w:jc w:val="right"/>
            </w:pPr>
            <w:r w:rsidRPr="005D5ADF">
              <w:t>290</w:t>
            </w:r>
          </w:p>
        </w:tc>
      </w:tr>
      <w:tr w:rsidR="00F95381" w:rsidRPr="005D5ADF" w14:paraId="065FD38A" w14:textId="77777777" w:rsidTr="00554D16">
        <w:tc>
          <w:tcPr>
            <w:tcW w:w="6804" w:type="dxa"/>
          </w:tcPr>
          <w:p w14:paraId="6905D3DE" w14:textId="77777777" w:rsidR="00F95381" w:rsidRPr="005D5ADF" w:rsidRDefault="00F95381" w:rsidP="005A2184">
            <w:pPr>
              <w:pStyle w:val="REG-P0"/>
              <w:ind w:left="567" w:hanging="567"/>
              <w:jc w:val="left"/>
            </w:pPr>
            <w:r w:rsidRPr="005D5ADF">
              <w:t>(s)</w:t>
            </w:r>
            <w:r w:rsidRPr="005D5ADF">
              <w:tab/>
              <w:t>Basic Emergency Care:</w:t>
            </w:r>
          </w:p>
        </w:tc>
        <w:tc>
          <w:tcPr>
            <w:tcW w:w="1701" w:type="dxa"/>
            <w:vAlign w:val="bottom"/>
          </w:tcPr>
          <w:p w14:paraId="1F9DDE24" w14:textId="77777777" w:rsidR="00F95381" w:rsidRPr="005D5ADF" w:rsidRDefault="00F95381" w:rsidP="005A2184">
            <w:pPr>
              <w:pStyle w:val="REG-P0"/>
              <w:jc w:val="right"/>
            </w:pPr>
            <w:r w:rsidRPr="005D5ADF">
              <w:t>50</w:t>
            </w:r>
          </w:p>
        </w:tc>
      </w:tr>
      <w:tr w:rsidR="00F95381" w:rsidRPr="005D5ADF" w14:paraId="156C9D27" w14:textId="77777777" w:rsidTr="00554D16">
        <w:tc>
          <w:tcPr>
            <w:tcW w:w="6804" w:type="dxa"/>
          </w:tcPr>
          <w:p w14:paraId="2542FB0C" w14:textId="77777777" w:rsidR="00F95381" w:rsidRPr="005D5ADF" w:rsidRDefault="00F95381" w:rsidP="005A2184">
            <w:pPr>
              <w:pStyle w:val="REG-P0"/>
              <w:ind w:left="567" w:hanging="567"/>
              <w:jc w:val="left"/>
            </w:pPr>
            <w:r w:rsidRPr="005D5ADF">
              <w:t>(t)</w:t>
            </w:r>
            <w:r w:rsidRPr="005D5ADF">
              <w:tab/>
              <w:t>Odontology: Conservative (Restorative) Dentistry, including Applied Medicine and the Science of Dental Biomaterials:</w:t>
            </w:r>
          </w:p>
        </w:tc>
        <w:tc>
          <w:tcPr>
            <w:tcW w:w="1701" w:type="dxa"/>
            <w:vAlign w:val="bottom"/>
          </w:tcPr>
          <w:p w14:paraId="15A5D1C1" w14:textId="77777777" w:rsidR="00F95381" w:rsidRPr="005D5ADF" w:rsidRDefault="00F95381" w:rsidP="005A2184">
            <w:pPr>
              <w:pStyle w:val="REG-P0"/>
              <w:jc w:val="right"/>
            </w:pPr>
            <w:r w:rsidRPr="005D5ADF">
              <w:t>1810</w:t>
            </w:r>
          </w:p>
        </w:tc>
      </w:tr>
    </w:tbl>
    <w:p w14:paraId="02D591F3" w14:textId="77777777" w:rsidR="007409E2" w:rsidRPr="005D5ADF" w:rsidRDefault="007409E2" w:rsidP="005A2184">
      <w:pPr>
        <w:pStyle w:val="REG-P0"/>
      </w:pPr>
    </w:p>
    <w:p w14:paraId="564CD445" w14:textId="77777777" w:rsidR="00F95381" w:rsidRPr="005D5ADF" w:rsidRDefault="00F95381" w:rsidP="005A2184">
      <w:pPr>
        <w:pStyle w:val="REG-P0"/>
      </w:pPr>
      <w:r w:rsidRPr="005D5ADF">
        <w:rPr>
          <w:b/>
          <w:bCs/>
        </w:rPr>
        <w:lastRenderedPageBreak/>
        <w:t>2.</w:t>
      </w:r>
      <w:r w:rsidRPr="005D5ADF">
        <w:rPr>
          <w:b/>
          <w:bCs/>
        </w:rPr>
        <w:tab/>
        <w:t>The subjects specified in item 1 are subject to the following conditions:</w:t>
      </w:r>
    </w:p>
    <w:p w14:paraId="5C782F5D" w14:textId="77777777" w:rsidR="00F95381" w:rsidRPr="005D5ADF" w:rsidRDefault="00F95381" w:rsidP="005A2184">
      <w:pPr>
        <w:pStyle w:val="REG-P0"/>
      </w:pPr>
    </w:p>
    <w:p w14:paraId="09BDDA88" w14:textId="77777777" w:rsidR="007409E2" w:rsidRPr="005D5ADF" w:rsidRDefault="007409E2" w:rsidP="005A2184">
      <w:pPr>
        <w:pStyle w:val="REG-P0"/>
        <w:ind w:left="567" w:hanging="567"/>
      </w:pPr>
      <w:r w:rsidRPr="005D5ADF">
        <w:t>(a)</w:t>
      </w:r>
      <w:r w:rsidRPr="005D5ADF">
        <w:tab/>
        <w:t>the tuition and training in such subjects are presented by the educational institution in such a manner that instruction in the basic principles which are required in the subsequent study of all the disciplines of the dental curriculum, including practical instruction therein, are included in such tuition and training;</w:t>
      </w:r>
    </w:p>
    <w:p w14:paraId="53753B6B" w14:textId="77777777" w:rsidR="007409E2" w:rsidRPr="005D5ADF" w:rsidRDefault="007409E2" w:rsidP="005A2184">
      <w:pPr>
        <w:pStyle w:val="REG-P0"/>
        <w:ind w:left="567" w:hanging="567"/>
      </w:pPr>
    </w:p>
    <w:p w14:paraId="5375518F" w14:textId="77777777" w:rsidR="007409E2" w:rsidRPr="005D5ADF" w:rsidRDefault="007409E2" w:rsidP="005A2184">
      <w:pPr>
        <w:pStyle w:val="REG-P0"/>
        <w:ind w:left="567" w:hanging="567"/>
      </w:pPr>
      <w:r w:rsidRPr="005D5ADF">
        <w:t>(b)</w:t>
      </w:r>
      <w:r w:rsidRPr="005D5ADF">
        <w:tab/>
        <w:t>the tuition and training in the clinical and practical dental subjects must be presented, in respect of every such subject, over a minimum period of two consecutive years, and must include preventive, promotive, curative and rehabilitative elements relating to such subjects; and</w:t>
      </w:r>
    </w:p>
    <w:p w14:paraId="56C6C50C" w14:textId="77777777" w:rsidR="007409E2" w:rsidRPr="005D5ADF" w:rsidRDefault="007409E2" w:rsidP="005A2184">
      <w:pPr>
        <w:pStyle w:val="REG-P0"/>
        <w:ind w:left="567" w:hanging="567"/>
      </w:pPr>
    </w:p>
    <w:p w14:paraId="22823EFE" w14:textId="77777777" w:rsidR="007409E2" w:rsidRPr="005D5ADF" w:rsidRDefault="007409E2" w:rsidP="005A2184">
      <w:pPr>
        <w:pStyle w:val="REG-P0"/>
        <w:ind w:left="567" w:hanging="567"/>
      </w:pPr>
      <w:r w:rsidRPr="005D5ADF">
        <w:t>(c)</w:t>
      </w:r>
      <w:r w:rsidRPr="005D5ADF">
        <w:tab/>
        <w:t>the educational institution must ensure that the tuition and training programme relating to such subjects is co-ordinated in an orderly manner.</w:t>
      </w:r>
    </w:p>
    <w:p w14:paraId="79B763BF" w14:textId="77777777" w:rsidR="007C4355" w:rsidRPr="005D5ADF" w:rsidRDefault="007C4355" w:rsidP="005A2184">
      <w:pPr>
        <w:pStyle w:val="REG-P0"/>
      </w:pPr>
    </w:p>
    <w:sectPr w:rsidR="007C4355" w:rsidRPr="005D5ADF"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332E6" w14:textId="77777777" w:rsidR="00A065CA" w:rsidRDefault="00A065CA">
      <w:r>
        <w:separator/>
      </w:r>
    </w:p>
  </w:endnote>
  <w:endnote w:type="continuationSeparator" w:id="0">
    <w:p w14:paraId="50EEBA11" w14:textId="77777777" w:rsidR="00A065CA" w:rsidRDefault="00A0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E4605" w14:textId="77777777" w:rsidR="00A065CA" w:rsidRDefault="00A065CA">
      <w:r>
        <w:separator/>
      </w:r>
    </w:p>
  </w:footnote>
  <w:footnote w:type="continuationSeparator" w:id="0">
    <w:p w14:paraId="046DE90F" w14:textId="77777777" w:rsidR="00A065CA" w:rsidRDefault="00A0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A19E" w14:textId="060FD86F"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5A8E2322">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D6692C">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3EFBF16E" w14:textId="77777777" w:rsidR="00CC205C" w:rsidRPr="00F25922" w:rsidRDefault="00B21824" w:rsidP="00F25922">
    <w:pPr>
      <w:pStyle w:val="REG-PHA"/>
    </w:pPr>
    <w:r w:rsidRPr="00F25922">
      <w:t>REGULATIONS</w:t>
    </w:r>
  </w:p>
  <w:p w14:paraId="6269EA4A" w14:textId="52EDA872" w:rsidR="00BF0042" w:rsidRDefault="00DE361C" w:rsidP="005A2184">
    <w:pPr>
      <w:pStyle w:val="REG-PHb"/>
      <w:spacing w:after="120"/>
    </w:pPr>
    <w:r w:rsidRPr="00DE361C">
      <w:t>Health Professions Act 16 of 2024</w:t>
    </w:r>
  </w:p>
  <w:p w14:paraId="144E1737" w14:textId="77777777" w:rsidR="0052580B" w:rsidRPr="0052580B" w:rsidRDefault="0052580B" w:rsidP="0052580B">
    <w:pPr>
      <w:pStyle w:val="REG-PHb"/>
      <w:rPr>
        <w:lang w:val="en-ZA"/>
      </w:rPr>
    </w:pPr>
    <w:r w:rsidRPr="0052580B">
      <w:rPr>
        <w:lang w:val="en-ZA"/>
      </w:rPr>
      <w:t xml:space="preserve">Regulations relating to the Qualifications entitling Dentists to Register, </w:t>
    </w:r>
    <w:r>
      <w:rPr>
        <w:lang w:val="en-ZA"/>
      </w:rPr>
      <w:br/>
    </w:r>
    <w:r w:rsidRPr="0052580B">
      <w:rPr>
        <w:lang w:val="en-ZA"/>
      </w:rPr>
      <w:t>Minimum Curriculum for Dentistry and Professional Examinations for Dentists</w:t>
    </w:r>
  </w:p>
  <w:p w14:paraId="12DD55E6" w14:textId="77777777" w:rsidR="00BF0042" w:rsidRPr="00F25922" w:rsidRDefault="00BF0042" w:rsidP="00F25922">
    <w:pPr>
      <w:pStyle w:val="REG-P0"/>
      <w:pBdr>
        <w:bottom w:val="single" w:sz="24" w:space="1" w:color="BFBFBF" w:themeColor="accent5" w:themeTint="66"/>
      </w:pBdr>
      <w:rPr>
        <w:strike/>
        <w:sz w:val="12"/>
        <w:szCs w:val="16"/>
      </w:rPr>
    </w:pPr>
  </w:p>
  <w:p w14:paraId="503525E1" w14:textId="77777777" w:rsidR="00D02779" w:rsidRDefault="00D02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99B6F"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4120A3"/>
    <w:multiLevelType w:val="hybridMultilevel"/>
    <w:tmpl w:val="7FECEB20"/>
    <w:lvl w:ilvl="0" w:tplc="D78CBD5C">
      <w:start w:val="2"/>
      <w:numFmt w:val="decimal"/>
      <w:lvlText w:val="(%1)"/>
      <w:lvlJc w:val="left"/>
      <w:pPr>
        <w:ind w:hanging="569"/>
        <w:jc w:val="left"/>
      </w:pPr>
      <w:rPr>
        <w:rFonts w:ascii="Times New Roman" w:eastAsia="Times New Roman" w:hAnsi="Times New Roman" w:hint="default"/>
        <w:sz w:val="22"/>
        <w:szCs w:val="22"/>
      </w:rPr>
    </w:lvl>
    <w:lvl w:ilvl="1" w:tplc="00B433E6">
      <w:start w:val="1"/>
      <w:numFmt w:val="lowerLetter"/>
      <w:lvlText w:val="(%2)"/>
      <w:lvlJc w:val="left"/>
      <w:pPr>
        <w:ind w:hanging="569"/>
        <w:jc w:val="left"/>
      </w:pPr>
      <w:rPr>
        <w:rFonts w:ascii="Times New Roman" w:eastAsia="Times New Roman" w:hAnsi="Times New Roman" w:hint="default"/>
        <w:sz w:val="22"/>
        <w:szCs w:val="22"/>
      </w:rPr>
    </w:lvl>
    <w:lvl w:ilvl="2" w:tplc="7DE2C0A6">
      <w:start w:val="1"/>
      <w:numFmt w:val="bullet"/>
      <w:lvlText w:val="•"/>
      <w:lvlJc w:val="left"/>
      <w:rPr>
        <w:rFonts w:hint="default"/>
      </w:rPr>
    </w:lvl>
    <w:lvl w:ilvl="3" w:tplc="1B447EE0">
      <w:start w:val="1"/>
      <w:numFmt w:val="bullet"/>
      <w:lvlText w:val="•"/>
      <w:lvlJc w:val="left"/>
      <w:rPr>
        <w:rFonts w:hint="default"/>
      </w:rPr>
    </w:lvl>
    <w:lvl w:ilvl="4" w:tplc="E75432EC">
      <w:start w:val="1"/>
      <w:numFmt w:val="bullet"/>
      <w:lvlText w:val="•"/>
      <w:lvlJc w:val="left"/>
      <w:rPr>
        <w:rFonts w:hint="default"/>
      </w:rPr>
    </w:lvl>
    <w:lvl w:ilvl="5" w:tplc="0DC46F5E">
      <w:start w:val="1"/>
      <w:numFmt w:val="bullet"/>
      <w:lvlText w:val="•"/>
      <w:lvlJc w:val="left"/>
      <w:rPr>
        <w:rFonts w:hint="default"/>
      </w:rPr>
    </w:lvl>
    <w:lvl w:ilvl="6" w:tplc="D5CA30C6">
      <w:start w:val="1"/>
      <w:numFmt w:val="bullet"/>
      <w:lvlText w:val="•"/>
      <w:lvlJc w:val="left"/>
      <w:rPr>
        <w:rFonts w:hint="default"/>
      </w:rPr>
    </w:lvl>
    <w:lvl w:ilvl="7" w:tplc="8EE45EE6">
      <w:start w:val="1"/>
      <w:numFmt w:val="bullet"/>
      <w:lvlText w:val="•"/>
      <w:lvlJc w:val="left"/>
      <w:rPr>
        <w:rFonts w:hint="default"/>
      </w:rPr>
    </w:lvl>
    <w:lvl w:ilvl="8" w:tplc="0EC4C71C">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BD514A2"/>
    <w:multiLevelType w:val="hybridMultilevel"/>
    <w:tmpl w:val="90C427D4"/>
    <w:lvl w:ilvl="0" w:tplc="4352188A">
      <w:start w:val="1"/>
      <w:numFmt w:val="lowerLetter"/>
      <w:lvlText w:val="(%1)"/>
      <w:lvlJc w:val="left"/>
      <w:pPr>
        <w:ind w:hanging="567"/>
        <w:jc w:val="right"/>
      </w:pPr>
      <w:rPr>
        <w:rFonts w:ascii="Times New Roman" w:eastAsia="Times New Roman" w:hAnsi="Times New Roman" w:hint="default"/>
        <w:sz w:val="22"/>
        <w:szCs w:val="22"/>
      </w:rPr>
    </w:lvl>
    <w:lvl w:ilvl="1" w:tplc="D50A7A2E">
      <w:start w:val="1"/>
      <w:numFmt w:val="bullet"/>
      <w:lvlText w:val="•"/>
      <w:lvlJc w:val="left"/>
      <w:rPr>
        <w:rFonts w:hint="default"/>
      </w:rPr>
    </w:lvl>
    <w:lvl w:ilvl="2" w:tplc="A952492E">
      <w:start w:val="1"/>
      <w:numFmt w:val="bullet"/>
      <w:lvlText w:val="•"/>
      <w:lvlJc w:val="left"/>
      <w:rPr>
        <w:rFonts w:hint="default"/>
      </w:rPr>
    </w:lvl>
    <w:lvl w:ilvl="3" w:tplc="BE58D1A4">
      <w:start w:val="1"/>
      <w:numFmt w:val="bullet"/>
      <w:lvlText w:val="•"/>
      <w:lvlJc w:val="left"/>
      <w:rPr>
        <w:rFonts w:hint="default"/>
      </w:rPr>
    </w:lvl>
    <w:lvl w:ilvl="4" w:tplc="3DF2D540">
      <w:start w:val="1"/>
      <w:numFmt w:val="bullet"/>
      <w:lvlText w:val="•"/>
      <w:lvlJc w:val="left"/>
      <w:rPr>
        <w:rFonts w:hint="default"/>
      </w:rPr>
    </w:lvl>
    <w:lvl w:ilvl="5" w:tplc="7922A5B2">
      <w:start w:val="1"/>
      <w:numFmt w:val="bullet"/>
      <w:lvlText w:val="•"/>
      <w:lvlJc w:val="left"/>
      <w:rPr>
        <w:rFonts w:hint="default"/>
      </w:rPr>
    </w:lvl>
    <w:lvl w:ilvl="6" w:tplc="378C3D62">
      <w:start w:val="1"/>
      <w:numFmt w:val="bullet"/>
      <w:lvlText w:val="•"/>
      <w:lvlJc w:val="left"/>
      <w:rPr>
        <w:rFonts w:hint="default"/>
      </w:rPr>
    </w:lvl>
    <w:lvl w:ilvl="7" w:tplc="4328AF2C">
      <w:start w:val="1"/>
      <w:numFmt w:val="bullet"/>
      <w:lvlText w:val="•"/>
      <w:lvlJc w:val="left"/>
      <w:rPr>
        <w:rFonts w:hint="default"/>
      </w:rPr>
    </w:lvl>
    <w:lvl w:ilvl="8" w:tplc="B5EA4D4C">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8CD6D68"/>
    <w:multiLevelType w:val="hybridMultilevel"/>
    <w:tmpl w:val="D7928C6C"/>
    <w:lvl w:ilvl="0" w:tplc="7968FA68">
      <w:start w:val="2"/>
      <w:numFmt w:val="decimal"/>
      <w:lvlText w:val="(%1)"/>
      <w:lvlJc w:val="left"/>
      <w:pPr>
        <w:ind w:hanging="569"/>
        <w:jc w:val="left"/>
      </w:pPr>
      <w:rPr>
        <w:rFonts w:ascii="Times New Roman" w:eastAsia="Times New Roman" w:hAnsi="Times New Roman" w:hint="default"/>
        <w:sz w:val="22"/>
        <w:szCs w:val="22"/>
      </w:rPr>
    </w:lvl>
    <w:lvl w:ilvl="1" w:tplc="057A94C4">
      <w:start w:val="2"/>
      <w:numFmt w:val="decimal"/>
      <w:lvlText w:val="(%2)"/>
      <w:lvlJc w:val="left"/>
      <w:pPr>
        <w:ind w:hanging="566"/>
        <w:jc w:val="left"/>
      </w:pPr>
      <w:rPr>
        <w:rFonts w:ascii="Times New Roman" w:eastAsia="Times New Roman" w:hAnsi="Times New Roman" w:hint="default"/>
        <w:sz w:val="22"/>
        <w:szCs w:val="22"/>
      </w:rPr>
    </w:lvl>
    <w:lvl w:ilvl="2" w:tplc="87BCD790">
      <w:start w:val="1"/>
      <w:numFmt w:val="lowerLetter"/>
      <w:lvlText w:val="(%3)"/>
      <w:lvlJc w:val="left"/>
      <w:pPr>
        <w:ind w:hanging="567"/>
        <w:jc w:val="left"/>
      </w:pPr>
      <w:rPr>
        <w:rFonts w:ascii="Times New Roman" w:eastAsia="Times New Roman" w:hAnsi="Times New Roman" w:hint="default"/>
        <w:sz w:val="22"/>
        <w:szCs w:val="22"/>
      </w:rPr>
    </w:lvl>
    <w:lvl w:ilvl="3" w:tplc="39C0C71E">
      <w:start w:val="1"/>
      <w:numFmt w:val="bullet"/>
      <w:lvlText w:val="•"/>
      <w:lvlJc w:val="left"/>
      <w:rPr>
        <w:rFonts w:hint="default"/>
      </w:rPr>
    </w:lvl>
    <w:lvl w:ilvl="4" w:tplc="5F56F324">
      <w:start w:val="1"/>
      <w:numFmt w:val="bullet"/>
      <w:lvlText w:val="•"/>
      <w:lvlJc w:val="left"/>
      <w:rPr>
        <w:rFonts w:hint="default"/>
      </w:rPr>
    </w:lvl>
    <w:lvl w:ilvl="5" w:tplc="65B2FB0C">
      <w:start w:val="1"/>
      <w:numFmt w:val="bullet"/>
      <w:lvlText w:val="•"/>
      <w:lvlJc w:val="left"/>
      <w:rPr>
        <w:rFonts w:hint="default"/>
      </w:rPr>
    </w:lvl>
    <w:lvl w:ilvl="6" w:tplc="7EEE038C">
      <w:start w:val="1"/>
      <w:numFmt w:val="bullet"/>
      <w:lvlText w:val="•"/>
      <w:lvlJc w:val="left"/>
      <w:rPr>
        <w:rFonts w:hint="default"/>
      </w:rPr>
    </w:lvl>
    <w:lvl w:ilvl="7" w:tplc="558C5F84">
      <w:start w:val="1"/>
      <w:numFmt w:val="bullet"/>
      <w:lvlText w:val="•"/>
      <w:lvlJc w:val="left"/>
      <w:rPr>
        <w:rFonts w:hint="default"/>
      </w:rPr>
    </w:lvl>
    <w:lvl w:ilvl="8" w:tplc="A670A57C">
      <w:start w:val="1"/>
      <w:numFmt w:val="bullet"/>
      <w:lvlText w:val="•"/>
      <w:lvlJc w:val="left"/>
      <w:rPr>
        <w:rFonts w:hint="default"/>
      </w:rPr>
    </w:lvl>
  </w:abstractNum>
  <w:abstractNum w:abstractNumId="8" w15:restartNumberingAfterBreak="0">
    <w:nsid w:val="5F6168C7"/>
    <w:multiLevelType w:val="hybridMultilevel"/>
    <w:tmpl w:val="E7B6EC9C"/>
    <w:lvl w:ilvl="0" w:tplc="BCF23F46">
      <w:start w:val="1"/>
      <w:numFmt w:val="lowerLetter"/>
      <w:lvlText w:val="(%1)"/>
      <w:lvlJc w:val="left"/>
      <w:pPr>
        <w:ind w:hanging="567"/>
        <w:jc w:val="left"/>
      </w:pPr>
      <w:rPr>
        <w:rFonts w:ascii="Times New Roman" w:eastAsia="Times New Roman" w:hAnsi="Times New Roman" w:hint="default"/>
        <w:sz w:val="22"/>
        <w:szCs w:val="22"/>
      </w:rPr>
    </w:lvl>
    <w:lvl w:ilvl="1" w:tplc="EB9A1E1A">
      <w:start w:val="1"/>
      <w:numFmt w:val="bullet"/>
      <w:lvlText w:val="•"/>
      <w:lvlJc w:val="left"/>
      <w:rPr>
        <w:rFonts w:hint="default"/>
      </w:rPr>
    </w:lvl>
    <w:lvl w:ilvl="2" w:tplc="1416E192">
      <w:start w:val="1"/>
      <w:numFmt w:val="bullet"/>
      <w:lvlText w:val="•"/>
      <w:lvlJc w:val="left"/>
      <w:rPr>
        <w:rFonts w:hint="default"/>
      </w:rPr>
    </w:lvl>
    <w:lvl w:ilvl="3" w:tplc="43FA3584">
      <w:start w:val="1"/>
      <w:numFmt w:val="bullet"/>
      <w:lvlText w:val="•"/>
      <w:lvlJc w:val="left"/>
      <w:rPr>
        <w:rFonts w:hint="default"/>
      </w:rPr>
    </w:lvl>
    <w:lvl w:ilvl="4" w:tplc="822420C6">
      <w:start w:val="1"/>
      <w:numFmt w:val="bullet"/>
      <w:lvlText w:val="•"/>
      <w:lvlJc w:val="left"/>
      <w:rPr>
        <w:rFonts w:hint="default"/>
      </w:rPr>
    </w:lvl>
    <w:lvl w:ilvl="5" w:tplc="C842392A">
      <w:start w:val="1"/>
      <w:numFmt w:val="bullet"/>
      <w:lvlText w:val="•"/>
      <w:lvlJc w:val="left"/>
      <w:rPr>
        <w:rFonts w:hint="default"/>
      </w:rPr>
    </w:lvl>
    <w:lvl w:ilvl="6" w:tplc="7692342E">
      <w:start w:val="1"/>
      <w:numFmt w:val="bullet"/>
      <w:lvlText w:val="•"/>
      <w:lvlJc w:val="left"/>
      <w:rPr>
        <w:rFonts w:hint="default"/>
      </w:rPr>
    </w:lvl>
    <w:lvl w:ilvl="7" w:tplc="411C43D0">
      <w:start w:val="1"/>
      <w:numFmt w:val="bullet"/>
      <w:lvlText w:val="•"/>
      <w:lvlJc w:val="left"/>
      <w:rPr>
        <w:rFonts w:hint="default"/>
      </w:rPr>
    </w:lvl>
    <w:lvl w:ilvl="8" w:tplc="F4DC2B7C">
      <w:start w:val="1"/>
      <w:numFmt w:val="bullet"/>
      <w:lvlText w:val="•"/>
      <w:lvlJc w:val="left"/>
      <w:rPr>
        <w:rFonts w:hint="default"/>
      </w:rPr>
    </w:lvl>
  </w:abstractNum>
  <w:abstractNum w:abstractNumId="9" w15:restartNumberingAfterBreak="0">
    <w:nsid w:val="7A7F3617"/>
    <w:multiLevelType w:val="hybridMultilevel"/>
    <w:tmpl w:val="ACBE9600"/>
    <w:lvl w:ilvl="0" w:tplc="FFBEE570">
      <w:start w:val="1"/>
      <w:numFmt w:val="decimal"/>
      <w:lvlText w:val="%1."/>
      <w:lvlJc w:val="left"/>
      <w:pPr>
        <w:ind w:hanging="567"/>
        <w:jc w:val="right"/>
      </w:pPr>
      <w:rPr>
        <w:rFonts w:ascii="Times New Roman" w:eastAsia="Times New Roman" w:hAnsi="Times New Roman" w:hint="default"/>
        <w:b/>
        <w:bCs/>
        <w:sz w:val="22"/>
        <w:szCs w:val="22"/>
      </w:rPr>
    </w:lvl>
    <w:lvl w:ilvl="1" w:tplc="799CD560">
      <w:start w:val="1"/>
      <w:numFmt w:val="bullet"/>
      <w:lvlText w:val="•"/>
      <w:lvlJc w:val="left"/>
      <w:rPr>
        <w:rFonts w:hint="default"/>
      </w:rPr>
    </w:lvl>
    <w:lvl w:ilvl="2" w:tplc="6F2A3DD2">
      <w:start w:val="1"/>
      <w:numFmt w:val="bullet"/>
      <w:lvlText w:val="•"/>
      <w:lvlJc w:val="left"/>
      <w:rPr>
        <w:rFonts w:hint="default"/>
      </w:rPr>
    </w:lvl>
    <w:lvl w:ilvl="3" w:tplc="1F2C3A4E">
      <w:start w:val="1"/>
      <w:numFmt w:val="bullet"/>
      <w:lvlText w:val="•"/>
      <w:lvlJc w:val="left"/>
      <w:rPr>
        <w:rFonts w:hint="default"/>
      </w:rPr>
    </w:lvl>
    <w:lvl w:ilvl="4" w:tplc="27AA107E">
      <w:start w:val="1"/>
      <w:numFmt w:val="bullet"/>
      <w:lvlText w:val="•"/>
      <w:lvlJc w:val="left"/>
      <w:rPr>
        <w:rFonts w:hint="default"/>
      </w:rPr>
    </w:lvl>
    <w:lvl w:ilvl="5" w:tplc="2C201A16">
      <w:start w:val="1"/>
      <w:numFmt w:val="bullet"/>
      <w:lvlText w:val="•"/>
      <w:lvlJc w:val="left"/>
      <w:rPr>
        <w:rFonts w:hint="default"/>
      </w:rPr>
    </w:lvl>
    <w:lvl w:ilvl="6" w:tplc="1EA85F90">
      <w:start w:val="1"/>
      <w:numFmt w:val="bullet"/>
      <w:lvlText w:val="•"/>
      <w:lvlJc w:val="left"/>
      <w:rPr>
        <w:rFonts w:hint="default"/>
      </w:rPr>
    </w:lvl>
    <w:lvl w:ilvl="7" w:tplc="74987974">
      <w:start w:val="1"/>
      <w:numFmt w:val="bullet"/>
      <w:lvlText w:val="•"/>
      <w:lvlJc w:val="left"/>
      <w:rPr>
        <w:rFonts w:hint="default"/>
      </w:rPr>
    </w:lvl>
    <w:lvl w:ilvl="8" w:tplc="E4982CF8">
      <w:start w:val="1"/>
      <w:numFmt w:val="bullet"/>
      <w:lvlText w:val="•"/>
      <w:lvlJc w:val="left"/>
      <w:rPr>
        <w:rFonts w:hint="default"/>
      </w:rPr>
    </w:lvl>
  </w:abstractNum>
  <w:num w:numId="1" w16cid:durableId="1041202633">
    <w:abstractNumId w:val="0"/>
  </w:num>
  <w:num w:numId="2" w16cid:durableId="273220385">
    <w:abstractNumId w:val="6"/>
  </w:num>
  <w:num w:numId="3" w16cid:durableId="966737425">
    <w:abstractNumId w:val="2"/>
  </w:num>
  <w:num w:numId="4" w16cid:durableId="1703439670">
    <w:abstractNumId w:val="3"/>
  </w:num>
  <w:num w:numId="5" w16cid:durableId="395277627">
    <w:abstractNumId w:val="5"/>
  </w:num>
  <w:num w:numId="6" w16cid:durableId="90203754">
    <w:abstractNumId w:val="4"/>
  </w:num>
  <w:num w:numId="7" w16cid:durableId="402262072">
    <w:abstractNumId w:val="8"/>
  </w:num>
  <w:num w:numId="8" w16cid:durableId="1198734436">
    <w:abstractNumId w:val="7"/>
  </w:num>
  <w:num w:numId="9" w16cid:durableId="2046055522">
    <w:abstractNumId w:val="1"/>
  </w:num>
  <w:num w:numId="10" w16cid:durableId="72151417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E1NLE0MjMytjBQ0lEKTi0uzszPAykwrAUAbK/IbSwAAAA="/>
  </w:docVars>
  <w:rsids>
    <w:rsidRoot w:val="0097308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0325"/>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5D9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5C5"/>
    <w:rsid w:val="002208C6"/>
    <w:rsid w:val="00221C58"/>
    <w:rsid w:val="002252DD"/>
    <w:rsid w:val="0023567D"/>
    <w:rsid w:val="002436F5"/>
    <w:rsid w:val="00251136"/>
    <w:rsid w:val="00255B09"/>
    <w:rsid w:val="00257780"/>
    <w:rsid w:val="00261EC4"/>
    <w:rsid w:val="00265308"/>
    <w:rsid w:val="002655B6"/>
    <w:rsid w:val="00267465"/>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37DE"/>
    <w:rsid w:val="00336B1F"/>
    <w:rsid w:val="00336DF0"/>
    <w:rsid w:val="003407C1"/>
    <w:rsid w:val="00342579"/>
    <w:rsid w:val="00342850"/>
    <w:rsid w:val="003449A3"/>
    <w:rsid w:val="0035589F"/>
    <w:rsid w:val="00363299"/>
    <w:rsid w:val="0036330B"/>
    <w:rsid w:val="00363E94"/>
    <w:rsid w:val="0036547E"/>
    <w:rsid w:val="0036572A"/>
    <w:rsid w:val="00366718"/>
    <w:rsid w:val="0037208D"/>
    <w:rsid w:val="003778DA"/>
    <w:rsid w:val="00377FBD"/>
    <w:rsid w:val="00380973"/>
    <w:rsid w:val="003837C6"/>
    <w:rsid w:val="003849A8"/>
    <w:rsid w:val="003905F1"/>
    <w:rsid w:val="00394930"/>
    <w:rsid w:val="00394B3B"/>
    <w:rsid w:val="00396E50"/>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7ADF"/>
    <w:rsid w:val="004A01D1"/>
    <w:rsid w:val="004B0AB3"/>
    <w:rsid w:val="004B13C6"/>
    <w:rsid w:val="004B437B"/>
    <w:rsid w:val="004B5A3C"/>
    <w:rsid w:val="004C1DA0"/>
    <w:rsid w:val="004D0854"/>
    <w:rsid w:val="004D2FFC"/>
    <w:rsid w:val="004D3215"/>
    <w:rsid w:val="004D67C8"/>
    <w:rsid w:val="004E07A4"/>
    <w:rsid w:val="004E2029"/>
    <w:rsid w:val="004E33FE"/>
    <w:rsid w:val="004E4868"/>
    <w:rsid w:val="004E5244"/>
    <w:rsid w:val="004F4855"/>
    <w:rsid w:val="004F7202"/>
    <w:rsid w:val="004F72F4"/>
    <w:rsid w:val="00501CAB"/>
    <w:rsid w:val="0050232A"/>
    <w:rsid w:val="00503297"/>
    <w:rsid w:val="005101FF"/>
    <w:rsid w:val="00512242"/>
    <w:rsid w:val="00512DA3"/>
    <w:rsid w:val="00514000"/>
    <w:rsid w:val="00515D04"/>
    <w:rsid w:val="00524ECC"/>
    <w:rsid w:val="0052580B"/>
    <w:rsid w:val="00527ABE"/>
    <w:rsid w:val="005322A1"/>
    <w:rsid w:val="00532451"/>
    <w:rsid w:val="00542D73"/>
    <w:rsid w:val="005438C8"/>
    <w:rsid w:val="00547702"/>
    <w:rsid w:val="00551408"/>
    <w:rsid w:val="0055440A"/>
    <w:rsid w:val="00554D16"/>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184"/>
    <w:rsid w:val="005A2789"/>
    <w:rsid w:val="005B23AF"/>
    <w:rsid w:val="005B4215"/>
    <w:rsid w:val="005B5656"/>
    <w:rsid w:val="005C16B3"/>
    <w:rsid w:val="005C25CF"/>
    <w:rsid w:val="005C303C"/>
    <w:rsid w:val="005C7F82"/>
    <w:rsid w:val="005D0866"/>
    <w:rsid w:val="005D537D"/>
    <w:rsid w:val="005D5858"/>
    <w:rsid w:val="005D5ADF"/>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3601B"/>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3DF3"/>
    <w:rsid w:val="00687058"/>
    <w:rsid w:val="00694430"/>
    <w:rsid w:val="00694677"/>
    <w:rsid w:val="00697FAC"/>
    <w:rsid w:val="006A03A3"/>
    <w:rsid w:val="006A11C3"/>
    <w:rsid w:val="006A6EA7"/>
    <w:rsid w:val="006A74BC"/>
    <w:rsid w:val="006B503F"/>
    <w:rsid w:val="006B64A8"/>
    <w:rsid w:val="006B707C"/>
    <w:rsid w:val="006C0353"/>
    <w:rsid w:val="006C24CB"/>
    <w:rsid w:val="006C6020"/>
    <w:rsid w:val="006D0225"/>
    <w:rsid w:val="006D15F6"/>
    <w:rsid w:val="006D1681"/>
    <w:rsid w:val="006D2E1F"/>
    <w:rsid w:val="006D3B55"/>
    <w:rsid w:val="006E3151"/>
    <w:rsid w:val="006E3515"/>
    <w:rsid w:val="006F594C"/>
    <w:rsid w:val="006F5E34"/>
    <w:rsid w:val="006F66A5"/>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9E2"/>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3E6"/>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65E"/>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3085"/>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65CA"/>
    <w:rsid w:val="00A07879"/>
    <w:rsid w:val="00A1474E"/>
    <w:rsid w:val="00A156A1"/>
    <w:rsid w:val="00A1618E"/>
    <w:rsid w:val="00A219F3"/>
    <w:rsid w:val="00A23E01"/>
    <w:rsid w:val="00A24135"/>
    <w:rsid w:val="00A25C8D"/>
    <w:rsid w:val="00A41A02"/>
    <w:rsid w:val="00A43EBA"/>
    <w:rsid w:val="00A50B10"/>
    <w:rsid w:val="00A50D6A"/>
    <w:rsid w:val="00A50FFE"/>
    <w:rsid w:val="00A5614E"/>
    <w:rsid w:val="00A60798"/>
    <w:rsid w:val="00A60BC7"/>
    <w:rsid w:val="00A60F5C"/>
    <w:rsid w:val="00A62193"/>
    <w:rsid w:val="00A62552"/>
    <w:rsid w:val="00A65C80"/>
    <w:rsid w:val="00A7060B"/>
    <w:rsid w:val="00A70D02"/>
    <w:rsid w:val="00A8012E"/>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6DD5"/>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AF59EA"/>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39F4"/>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6E87"/>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222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0277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692C"/>
    <w:rsid w:val="00D721E9"/>
    <w:rsid w:val="00D75950"/>
    <w:rsid w:val="00D760CE"/>
    <w:rsid w:val="00D838A0"/>
    <w:rsid w:val="00D92332"/>
    <w:rsid w:val="00D924D5"/>
    <w:rsid w:val="00D94444"/>
    <w:rsid w:val="00D9603B"/>
    <w:rsid w:val="00DA259E"/>
    <w:rsid w:val="00DA3240"/>
    <w:rsid w:val="00DA5C40"/>
    <w:rsid w:val="00DA63BE"/>
    <w:rsid w:val="00DB4BA9"/>
    <w:rsid w:val="00DB60E4"/>
    <w:rsid w:val="00DC49DB"/>
    <w:rsid w:val="00DC4BEF"/>
    <w:rsid w:val="00DC6273"/>
    <w:rsid w:val="00DC6485"/>
    <w:rsid w:val="00DC7EE1"/>
    <w:rsid w:val="00DD0E75"/>
    <w:rsid w:val="00DD2076"/>
    <w:rsid w:val="00DD76F6"/>
    <w:rsid w:val="00DE1053"/>
    <w:rsid w:val="00DE1C5D"/>
    <w:rsid w:val="00DE361C"/>
    <w:rsid w:val="00DE4054"/>
    <w:rsid w:val="00DE7C73"/>
    <w:rsid w:val="00DF0566"/>
    <w:rsid w:val="00E0318D"/>
    <w:rsid w:val="00E040FF"/>
    <w:rsid w:val="00E0419C"/>
    <w:rsid w:val="00E0441A"/>
    <w:rsid w:val="00E047B4"/>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607"/>
    <w:rsid w:val="00F83D13"/>
    <w:rsid w:val="00F870B9"/>
    <w:rsid w:val="00F9429A"/>
    <w:rsid w:val="00F945A2"/>
    <w:rsid w:val="00F94E32"/>
    <w:rsid w:val="00F95381"/>
    <w:rsid w:val="00F9665E"/>
    <w:rsid w:val="00F969A2"/>
    <w:rsid w:val="00FA30B6"/>
    <w:rsid w:val="00FA450D"/>
    <w:rsid w:val="00FA6D09"/>
    <w:rsid w:val="00FA7FE6"/>
    <w:rsid w:val="00FB1BAE"/>
    <w:rsid w:val="00FB2064"/>
    <w:rsid w:val="00FB375A"/>
    <w:rsid w:val="00FB4CB8"/>
    <w:rsid w:val="00FB6A62"/>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0AC88"/>
  <w15:docId w15:val="{4B3A6AC9-AE5D-45C1-BB02-75813DAA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E361C"/>
    <w:pPr>
      <w:spacing w:after="0" w:line="240" w:lineRule="auto"/>
    </w:pPr>
    <w:rPr>
      <w:rFonts w:ascii="Times New Roman" w:hAnsi="Times New Roman"/>
      <w:noProof/>
    </w:rPr>
  </w:style>
  <w:style w:type="paragraph" w:styleId="Heading1">
    <w:name w:val="heading 1"/>
    <w:basedOn w:val="Normal"/>
    <w:link w:val="Heading1Char"/>
    <w:uiPriority w:val="9"/>
    <w:rsid w:val="00A50B1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0B10"/>
    <w:pPr>
      <w:tabs>
        <w:tab w:val="center" w:pos="4513"/>
        <w:tab w:val="right" w:pos="9026"/>
      </w:tabs>
    </w:pPr>
  </w:style>
  <w:style w:type="character" w:customStyle="1" w:styleId="FooterChar">
    <w:name w:val="Footer Char"/>
    <w:basedOn w:val="DefaultParagraphFont"/>
    <w:link w:val="Footer"/>
    <w:uiPriority w:val="99"/>
    <w:rsid w:val="00A50B10"/>
    <w:rPr>
      <w:rFonts w:ascii="Times New Roman" w:hAnsi="Times New Roman"/>
      <w:noProof/>
    </w:rPr>
  </w:style>
  <w:style w:type="paragraph" w:styleId="Header">
    <w:name w:val="header"/>
    <w:basedOn w:val="Normal"/>
    <w:link w:val="HeaderChar"/>
    <w:uiPriority w:val="99"/>
    <w:unhideWhenUsed/>
    <w:rsid w:val="00A50B10"/>
    <w:pPr>
      <w:tabs>
        <w:tab w:val="center" w:pos="4513"/>
        <w:tab w:val="right" w:pos="9026"/>
      </w:tabs>
    </w:pPr>
  </w:style>
  <w:style w:type="character" w:customStyle="1" w:styleId="HeaderChar">
    <w:name w:val="Header Char"/>
    <w:basedOn w:val="DefaultParagraphFont"/>
    <w:link w:val="Header"/>
    <w:uiPriority w:val="99"/>
    <w:rsid w:val="00A50B10"/>
    <w:rPr>
      <w:rFonts w:ascii="Times New Roman" w:hAnsi="Times New Roman"/>
      <w:noProof/>
    </w:rPr>
  </w:style>
  <w:style w:type="paragraph" w:styleId="BalloonText">
    <w:name w:val="Balloon Text"/>
    <w:basedOn w:val="Normal"/>
    <w:link w:val="BalloonTextChar"/>
    <w:uiPriority w:val="99"/>
    <w:semiHidden/>
    <w:unhideWhenUsed/>
    <w:rsid w:val="00A50B10"/>
    <w:rPr>
      <w:rFonts w:ascii="Tahoma" w:hAnsi="Tahoma" w:cs="Tahoma"/>
      <w:sz w:val="16"/>
      <w:szCs w:val="16"/>
    </w:rPr>
  </w:style>
  <w:style w:type="character" w:customStyle="1" w:styleId="BalloonTextChar">
    <w:name w:val="Balloon Text Char"/>
    <w:basedOn w:val="DefaultParagraphFont"/>
    <w:link w:val="BalloonText"/>
    <w:uiPriority w:val="99"/>
    <w:semiHidden/>
    <w:rsid w:val="00A50B10"/>
    <w:rPr>
      <w:rFonts w:ascii="Tahoma" w:hAnsi="Tahoma" w:cs="Tahoma"/>
      <w:noProof/>
      <w:sz w:val="16"/>
      <w:szCs w:val="16"/>
    </w:rPr>
  </w:style>
  <w:style w:type="paragraph" w:customStyle="1" w:styleId="REG-H3A">
    <w:name w:val="REG-H3A"/>
    <w:link w:val="REG-H3AChar"/>
    <w:qFormat/>
    <w:rsid w:val="00A50B1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50B10"/>
    <w:pPr>
      <w:numPr>
        <w:numId w:val="1"/>
      </w:numPr>
      <w:contextualSpacing/>
    </w:pPr>
  </w:style>
  <w:style w:type="character" w:customStyle="1" w:styleId="REG-H3AChar">
    <w:name w:val="REG-H3A Char"/>
    <w:basedOn w:val="DefaultParagraphFont"/>
    <w:link w:val="REG-H3A"/>
    <w:rsid w:val="00A50B10"/>
    <w:rPr>
      <w:rFonts w:ascii="Times New Roman" w:hAnsi="Times New Roman" w:cs="Times New Roman"/>
      <w:b/>
      <w:caps/>
      <w:noProof/>
    </w:rPr>
  </w:style>
  <w:style w:type="character" w:customStyle="1" w:styleId="A3">
    <w:name w:val="A3"/>
    <w:uiPriority w:val="99"/>
    <w:rsid w:val="00A50B10"/>
    <w:rPr>
      <w:rFonts w:cs="Times"/>
      <w:color w:val="000000"/>
      <w:sz w:val="22"/>
      <w:szCs w:val="22"/>
    </w:rPr>
  </w:style>
  <w:style w:type="paragraph" w:customStyle="1" w:styleId="Head2B">
    <w:name w:val="Head 2B"/>
    <w:basedOn w:val="AS-H3A"/>
    <w:link w:val="Head2BChar"/>
    <w:rsid w:val="00A50B10"/>
  </w:style>
  <w:style w:type="paragraph" w:styleId="ListParagraph">
    <w:name w:val="List Paragraph"/>
    <w:basedOn w:val="Normal"/>
    <w:link w:val="ListParagraphChar"/>
    <w:uiPriority w:val="34"/>
    <w:rsid w:val="00A50B10"/>
    <w:pPr>
      <w:ind w:left="720"/>
      <w:contextualSpacing/>
    </w:pPr>
  </w:style>
  <w:style w:type="character" w:customStyle="1" w:styleId="Head2BChar">
    <w:name w:val="Head 2B Char"/>
    <w:basedOn w:val="AS-H3AChar"/>
    <w:link w:val="Head2B"/>
    <w:rsid w:val="00A50B10"/>
    <w:rPr>
      <w:rFonts w:ascii="Times New Roman" w:hAnsi="Times New Roman" w:cs="Times New Roman"/>
      <w:b/>
      <w:caps/>
      <w:noProof/>
    </w:rPr>
  </w:style>
  <w:style w:type="paragraph" w:customStyle="1" w:styleId="Head3">
    <w:name w:val="Head 3"/>
    <w:basedOn w:val="ListParagraph"/>
    <w:link w:val="Head3Char"/>
    <w:rsid w:val="00A50B1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50B10"/>
    <w:rPr>
      <w:rFonts w:ascii="Times New Roman" w:hAnsi="Times New Roman"/>
      <w:noProof/>
    </w:rPr>
  </w:style>
  <w:style w:type="character" w:customStyle="1" w:styleId="Head3Char">
    <w:name w:val="Head 3 Char"/>
    <w:basedOn w:val="ListParagraphChar"/>
    <w:link w:val="Head3"/>
    <w:rsid w:val="00A50B10"/>
    <w:rPr>
      <w:rFonts w:ascii="Times New Roman" w:eastAsia="Times New Roman" w:hAnsi="Times New Roman" w:cs="Times New Roman"/>
      <w:b/>
      <w:bCs/>
      <w:noProof/>
    </w:rPr>
  </w:style>
  <w:style w:type="paragraph" w:customStyle="1" w:styleId="REG-H1a">
    <w:name w:val="REG-H1a"/>
    <w:link w:val="REG-H1aChar"/>
    <w:qFormat/>
    <w:rsid w:val="00A50B1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50B1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50B10"/>
    <w:rPr>
      <w:rFonts w:ascii="Arial" w:hAnsi="Arial" w:cs="Arial"/>
      <w:b/>
      <w:noProof/>
      <w:sz w:val="36"/>
      <w:szCs w:val="36"/>
    </w:rPr>
  </w:style>
  <w:style w:type="paragraph" w:customStyle="1" w:styleId="AS-H1-Colour">
    <w:name w:val="AS-H1-Colour"/>
    <w:basedOn w:val="Normal"/>
    <w:link w:val="AS-H1-ColourChar"/>
    <w:rsid w:val="00A50B1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50B10"/>
    <w:rPr>
      <w:rFonts w:ascii="Times New Roman" w:hAnsi="Times New Roman" w:cs="Times New Roman"/>
      <w:b/>
      <w:caps/>
      <w:noProof/>
      <w:color w:val="00B050"/>
      <w:sz w:val="24"/>
      <w:szCs w:val="24"/>
    </w:rPr>
  </w:style>
  <w:style w:type="paragraph" w:customStyle="1" w:styleId="AS-H2b">
    <w:name w:val="AS-H2b"/>
    <w:basedOn w:val="Normal"/>
    <w:link w:val="AS-H2bChar"/>
    <w:rsid w:val="00A50B1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50B10"/>
    <w:rPr>
      <w:rFonts w:ascii="Arial" w:hAnsi="Arial" w:cs="Arial"/>
      <w:b/>
      <w:noProof/>
      <w:color w:val="00B050"/>
      <w:sz w:val="36"/>
      <w:szCs w:val="36"/>
    </w:rPr>
  </w:style>
  <w:style w:type="paragraph" w:customStyle="1" w:styleId="AS-H3">
    <w:name w:val="AS-H3"/>
    <w:basedOn w:val="AS-H3A"/>
    <w:link w:val="AS-H3Char"/>
    <w:rsid w:val="00A50B10"/>
    <w:rPr>
      <w:sz w:val="28"/>
    </w:rPr>
  </w:style>
  <w:style w:type="character" w:customStyle="1" w:styleId="AS-H2bChar">
    <w:name w:val="AS-H2b Char"/>
    <w:basedOn w:val="DefaultParagraphFont"/>
    <w:link w:val="AS-H2b"/>
    <w:rsid w:val="00A50B10"/>
    <w:rPr>
      <w:rFonts w:ascii="Arial" w:hAnsi="Arial" w:cs="Arial"/>
      <w:noProof/>
    </w:rPr>
  </w:style>
  <w:style w:type="paragraph" w:customStyle="1" w:styleId="REG-H3b">
    <w:name w:val="REG-H3b"/>
    <w:link w:val="REG-H3bChar"/>
    <w:qFormat/>
    <w:rsid w:val="00A50B1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50B10"/>
    <w:rPr>
      <w:rFonts w:ascii="Times New Roman" w:hAnsi="Times New Roman" w:cs="Times New Roman"/>
      <w:b/>
      <w:caps/>
      <w:noProof/>
      <w:sz w:val="28"/>
    </w:rPr>
  </w:style>
  <w:style w:type="paragraph" w:customStyle="1" w:styleId="AS-H3c">
    <w:name w:val="AS-H3c"/>
    <w:basedOn w:val="Head2B"/>
    <w:link w:val="AS-H3cChar"/>
    <w:rsid w:val="00A50B10"/>
    <w:rPr>
      <w:b w:val="0"/>
    </w:rPr>
  </w:style>
  <w:style w:type="character" w:customStyle="1" w:styleId="REG-H3bChar">
    <w:name w:val="REG-H3b Char"/>
    <w:basedOn w:val="REG-H3AChar"/>
    <w:link w:val="REG-H3b"/>
    <w:rsid w:val="00A50B10"/>
    <w:rPr>
      <w:rFonts w:ascii="Times New Roman" w:hAnsi="Times New Roman" w:cs="Times New Roman"/>
      <w:b w:val="0"/>
      <w:caps w:val="0"/>
      <w:noProof/>
    </w:rPr>
  </w:style>
  <w:style w:type="paragraph" w:customStyle="1" w:styleId="AS-H3d">
    <w:name w:val="AS-H3d"/>
    <w:basedOn w:val="Head2B"/>
    <w:link w:val="AS-H3dChar"/>
    <w:rsid w:val="00A50B10"/>
  </w:style>
  <w:style w:type="character" w:customStyle="1" w:styleId="AS-H3cChar">
    <w:name w:val="AS-H3c Char"/>
    <w:basedOn w:val="Head2BChar"/>
    <w:link w:val="AS-H3c"/>
    <w:rsid w:val="00A50B10"/>
    <w:rPr>
      <w:rFonts w:ascii="Times New Roman" w:hAnsi="Times New Roman" w:cs="Times New Roman"/>
      <w:b w:val="0"/>
      <w:caps/>
      <w:noProof/>
    </w:rPr>
  </w:style>
  <w:style w:type="paragraph" w:customStyle="1" w:styleId="REG-P0">
    <w:name w:val="REG-P(0)"/>
    <w:basedOn w:val="Normal"/>
    <w:link w:val="REG-P0Char"/>
    <w:qFormat/>
    <w:rsid w:val="00A50B10"/>
    <w:pPr>
      <w:tabs>
        <w:tab w:val="left" w:pos="567"/>
      </w:tabs>
      <w:jc w:val="both"/>
    </w:pPr>
    <w:rPr>
      <w:rFonts w:eastAsia="Times New Roman" w:cs="Times New Roman"/>
    </w:rPr>
  </w:style>
  <w:style w:type="character" w:customStyle="1" w:styleId="AS-H3dChar">
    <w:name w:val="AS-H3d Char"/>
    <w:basedOn w:val="Head2BChar"/>
    <w:link w:val="AS-H3d"/>
    <w:rsid w:val="00A50B10"/>
    <w:rPr>
      <w:rFonts w:ascii="Times New Roman" w:hAnsi="Times New Roman" w:cs="Times New Roman"/>
      <w:b/>
      <w:caps/>
      <w:noProof/>
    </w:rPr>
  </w:style>
  <w:style w:type="paragraph" w:customStyle="1" w:styleId="REG-P1">
    <w:name w:val="REG-P(1)"/>
    <w:basedOn w:val="Normal"/>
    <w:link w:val="REG-P1Char"/>
    <w:qFormat/>
    <w:rsid w:val="00A50B10"/>
    <w:pPr>
      <w:suppressAutoHyphens/>
      <w:ind w:firstLine="567"/>
      <w:jc w:val="both"/>
    </w:pPr>
    <w:rPr>
      <w:rFonts w:eastAsia="Times New Roman" w:cs="Times New Roman"/>
    </w:rPr>
  </w:style>
  <w:style w:type="character" w:customStyle="1" w:styleId="REG-P0Char">
    <w:name w:val="REG-P(0) Char"/>
    <w:basedOn w:val="DefaultParagraphFont"/>
    <w:link w:val="REG-P0"/>
    <w:rsid w:val="00A50B10"/>
    <w:rPr>
      <w:rFonts w:ascii="Times New Roman" w:eastAsia="Times New Roman" w:hAnsi="Times New Roman" w:cs="Times New Roman"/>
      <w:noProof/>
    </w:rPr>
  </w:style>
  <w:style w:type="paragraph" w:customStyle="1" w:styleId="REG-Pa">
    <w:name w:val="REG-P(a)"/>
    <w:basedOn w:val="Normal"/>
    <w:link w:val="REG-PaChar"/>
    <w:qFormat/>
    <w:rsid w:val="00A50B10"/>
    <w:pPr>
      <w:ind w:left="1134" w:hanging="567"/>
      <w:jc w:val="both"/>
    </w:pPr>
  </w:style>
  <w:style w:type="character" w:customStyle="1" w:styleId="REG-P1Char">
    <w:name w:val="REG-P(1) Char"/>
    <w:basedOn w:val="DefaultParagraphFont"/>
    <w:link w:val="REG-P1"/>
    <w:rsid w:val="00A50B10"/>
    <w:rPr>
      <w:rFonts w:ascii="Times New Roman" w:eastAsia="Times New Roman" w:hAnsi="Times New Roman" w:cs="Times New Roman"/>
      <w:noProof/>
    </w:rPr>
  </w:style>
  <w:style w:type="paragraph" w:customStyle="1" w:styleId="REG-Pi">
    <w:name w:val="REG-P(i)"/>
    <w:basedOn w:val="Normal"/>
    <w:link w:val="REG-PiChar"/>
    <w:qFormat/>
    <w:rsid w:val="00A50B10"/>
    <w:pPr>
      <w:suppressAutoHyphens/>
      <w:ind w:left="1701" w:hanging="567"/>
      <w:jc w:val="both"/>
    </w:pPr>
    <w:rPr>
      <w:rFonts w:eastAsia="Times New Roman" w:cs="Times New Roman"/>
    </w:rPr>
  </w:style>
  <w:style w:type="character" w:customStyle="1" w:styleId="REG-PaChar">
    <w:name w:val="REG-P(a) Char"/>
    <w:basedOn w:val="DefaultParagraphFont"/>
    <w:link w:val="REG-Pa"/>
    <w:rsid w:val="00A50B10"/>
    <w:rPr>
      <w:rFonts w:ascii="Times New Roman" w:hAnsi="Times New Roman"/>
      <w:noProof/>
    </w:rPr>
  </w:style>
  <w:style w:type="paragraph" w:customStyle="1" w:styleId="AS-Pahang">
    <w:name w:val="AS-P(a)hang"/>
    <w:basedOn w:val="Normal"/>
    <w:link w:val="AS-PahangChar"/>
    <w:rsid w:val="00A50B1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50B10"/>
    <w:rPr>
      <w:rFonts w:ascii="Times New Roman" w:eastAsia="Times New Roman" w:hAnsi="Times New Roman" w:cs="Times New Roman"/>
      <w:noProof/>
    </w:rPr>
  </w:style>
  <w:style w:type="paragraph" w:customStyle="1" w:styleId="REG-Paa">
    <w:name w:val="REG-P(aa)"/>
    <w:basedOn w:val="Normal"/>
    <w:link w:val="REG-PaaChar"/>
    <w:qFormat/>
    <w:rsid w:val="00A50B1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50B10"/>
    <w:rPr>
      <w:rFonts w:ascii="Times New Roman" w:eastAsia="Times New Roman" w:hAnsi="Times New Roman" w:cs="Times New Roman"/>
      <w:noProof/>
    </w:rPr>
  </w:style>
  <w:style w:type="paragraph" w:customStyle="1" w:styleId="REG-Amend">
    <w:name w:val="REG-Amend"/>
    <w:link w:val="REG-AmendChar"/>
    <w:qFormat/>
    <w:rsid w:val="00A50B1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50B10"/>
    <w:rPr>
      <w:rFonts w:ascii="Times New Roman" w:eastAsia="Times New Roman" w:hAnsi="Times New Roman" w:cs="Times New Roman"/>
      <w:noProof/>
    </w:rPr>
  </w:style>
  <w:style w:type="character" w:customStyle="1" w:styleId="REG-AmendChar">
    <w:name w:val="REG-Amend Char"/>
    <w:basedOn w:val="REG-P0Char"/>
    <w:link w:val="REG-Amend"/>
    <w:rsid w:val="00A50B1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50B10"/>
    <w:rPr>
      <w:sz w:val="16"/>
      <w:szCs w:val="16"/>
    </w:rPr>
  </w:style>
  <w:style w:type="paragraph" w:styleId="CommentText">
    <w:name w:val="annotation text"/>
    <w:basedOn w:val="Normal"/>
    <w:link w:val="CommentTextChar"/>
    <w:uiPriority w:val="99"/>
    <w:semiHidden/>
    <w:unhideWhenUsed/>
    <w:rsid w:val="00A50B10"/>
    <w:rPr>
      <w:sz w:val="20"/>
      <w:szCs w:val="20"/>
    </w:rPr>
  </w:style>
  <w:style w:type="character" w:customStyle="1" w:styleId="CommentTextChar">
    <w:name w:val="Comment Text Char"/>
    <w:basedOn w:val="DefaultParagraphFont"/>
    <w:link w:val="CommentText"/>
    <w:uiPriority w:val="99"/>
    <w:semiHidden/>
    <w:rsid w:val="00A50B1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50B10"/>
    <w:rPr>
      <w:b/>
      <w:bCs/>
    </w:rPr>
  </w:style>
  <w:style w:type="character" w:customStyle="1" w:styleId="CommentSubjectChar">
    <w:name w:val="Comment Subject Char"/>
    <w:basedOn w:val="CommentTextChar"/>
    <w:link w:val="CommentSubject"/>
    <w:uiPriority w:val="99"/>
    <w:semiHidden/>
    <w:rsid w:val="00A50B10"/>
    <w:rPr>
      <w:rFonts w:ascii="Times New Roman" w:hAnsi="Times New Roman"/>
      <w:b/>
      <w:bCs/>
      <w:noProof/>
      <w:sz w:val="20"/>
      <w:szCs w:val="20"/>
    </w:rPr>
  </w:style>
  <w:style w:type="paragraph" w:customStyle="1" w:styleId="AS-H4A">
    <w:name w:val="AS-H4A"/>
    <w:basedOn w:val="AS-P0"/>
    <w:link w:val="AS-H4AChar"/>
    <w:rsid w:val="00A50B10"/>
    <w:pPr>
      <w:tabs>
        <w:tab w:val="clear" w:pos="567"/>
      </w:tabs>
      <w:jc w:val="center"/>
    </w:pPr>
    <w:rPr>
      <w:b/>
      <w:caps/>
    </w:rPr>
  </w:style>
  <w:style w:type="paragraph" w:customStyle="1" w:styleId="AS-H4b">
    <w:name w:val="AS-H4b"/>
    <w:basedOn w:val="AS-P0"/>
    <w:link w:val="AS-H4bChar"/>
    <w:rsid w:val="00A50B10"/>
    <w:pPr>
      <w:tabs>
        <w:tab w:val="clear" w:pos="567"/>
      </w:tabs>
      <w:jc w:val="center"/>
    </w:pPr>
    <w:rPr>
      <w:b/>
    </w:rPr>
  </w:style>
  <w:style w:type="character" w:customStyle="1" w:styleId="AS-H4AChar">
    <w:name w:val="AS-H4A Char"/>
    <w:basedOn w:val="AS-P0Char"/>
    <w:link w:val="AS-H4A"/>
    <w:rsid w:val="00A50B10"/>
    <w:rPr>
      <w:rFonts w:ascii="Times New Roman" w:eastAsia="Times New Roman" w:hAnsi="Times New Roman" w:cs="Times New Roman"/>
      <w:b/>
      <w:caps/>
      <w:noProof/>
    </w:rPr>
  </w:style>
  <w:style w:type="character" w:customStyle="1" w:styleId="AS-H4bChar">
    <w:name w:val="AS-H4b Char"/>
    <w:basedOn w:val="AS-P0Char"/>
    <w:link w:val="AS-H4b"/>
    <w:rsid w:val="00A50B10"/>
    <w:rPr>
      <w:rFonts w:ascii="Times New Roman" w:eastAsia="Times New Roman" w:hAnsi="Times New Roman" w:cs="Times New Roman"/>
      <w:b/>
      <w:noProof/>
    </w:rPr>
  </w:style>
  <w:style w:type="paragraph" w:customStyle="1" w:styleId="AS-H2a">
    <w:name w:val="AS-H2a"/>
    <w:basedOn w:val="Normal"/>
    <w:link w:val="AS-H2aChar"/>
    <w:rsid w:val="00A50B1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50B10"/>
    <w:rPr>
      <w:rFonts w:ascii="Arial" w:hAnsi="Arial" w:cs="Arial"/>
      <w:b/>
      <w:noProof/>
    </w:rPr>
  </w:style>
  <w:style w:type="paragraph" w:customStyle="1" w:styleId="REG-H1d">
    <w:name w:val="REG-H1d"/>
    <w:link w:val="REG-H1dChar"/>
    <w:qFormat/>
    <w:rsid w:val="00A50B1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50B10"/>
    <w:rPr>
      <w:rFonts w:ascii="Arial" w:hAnsi="Arial" w:cs="Arial"/>
      <w:b w:val="0"/>
      <w:noProof/>
      <w:color w:val="000000"/>
      <w:szCs w:val="24"/>
      <w:lang w:val="en-ZA"/>
    </w:rPr>
  </w:style>
  <w:style w:type="table" w:styleId="TableGrid">
    <w:name w:val="Table Grid"/>
    <w:basedOn w:val="TableNormal"/>
    <w:uiPriority w:val="59"/>
    <w:rsid w:val="00A50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50B1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50B10"/>
    <w:rPr>
      <w:rFonts w:ascii="Times New Roman" w:eastAsia="Times New Roman" w:hAnsi="Times New Roman"/>
      <w:noProof/>
      <w:sz w:val="24"/>
      <w:szCs w:val="24"/>
      <w:lang w:val="en-US" w:eastAsia="en-US"/>
    </w:rPr>
  </w:style>
  <w:style w:type="paragraph" w:customStyle="1" w:styleId="AS-P0">
    <w:name w:val="AS-P(0)"/>
    <w:basedOn w:val="Normal"/>
    <w:link w:val="AS-P0Char"/>
    <w:rsid w:val="00A50B10"/>
    <w:pPr>
      <w:tabs>
        <w:tab w:val="left" w:pos="567"/>
      </w:tabs>
      <w:jc w:val="both"/>
    </w:pPr>
    <w:rPr>
      <w:rFonts w:eastAsia="Times New Roman" w:cs="Times New Roman"/>
    </w:rPr>
  </w:style>
  <w:style w:type="character" w:customStyle="1" w:styleId="AS-P0Char">
    <w:name w:val="AS-P(0) Char"/>
    <w:basedOn w:val="DefaultParagraphFont"/>
    <w:link w:val="AS-P0"/>
    <w:rsid w:val="00A50B10"/>
    <w:rPr>
      <w:rFonts w:ascii="Times New Roman" w:eastAsia="Times New Roman" w:hAnsi="Times New Roman" w:cs="Times New Roman"/>
      <w:noProof/>
    </w:rPr>
  </w:style>
  <w:style w:type="paragraph" w:customStyle="1" w:styleId="AS-H3A">
    <w:name w:val="AS-H3A"/>
    <w:basedOn w:val="Normal"/>
    <w:link w:val="AS-H3AChar"/>
    <w:rsid w:val="00A50B10"/>
    <w:pPr>
      <w:autoSpaceDE w:val="0"/>
      <w:autoSpaceDN w:val="0"/>
      <w:adjustRightInd w:val="0"/>
      <w:jc w:val="center"/>
    </w:pPr>
    <w:rPr>
      <w:rFonts w:cs="Times New Roman"/>
      <w:b/>
      <w:caps/>
    </w:rPr>
  </w:style>
  <w:style w:type="character" w:customStyle="1" w:styleId="AS-H3AChar">
    <w:name w:val="AS-H3A Char"/>
    <w:basedOn w:val="DefaultParagraphFont"/>
    <w:link w:val="AS-H3A"/>
    <w:rsid w:val="00A50B10"/>
    <w:rPr>
      <w:rFonts w:ascii="Times New Roman" w:hAnsi="Times New Roman" w:cs="Times New Roman"/>
      <w:b/>
      <w:caps/>
      <w:noProof/>
    </w:rPr>
  </w:style>
  <w:style w:type="paragraph" w:customStyle="1" w:styleId="AS-H1a">
    <w:name w:val="AS-H1a"/>
    <w:basedOn w:val="Normal"/>
    <w:link w:val="AS-H1aChar"/>
    <w:rsid w:val="00A50B1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50B1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50B10"/>
    <w:rPr>
      <w:rFonts w:ascii="Arial" w:hAnsi="Arial" w:cs="Arial"/>
      <w:b/>
      <w:noProof/>
      <w:sz w:val="36"/>
      <w:szCs w:val="36"/>
    </w:rPr>
  </w:style>
  <w:style w:type="character" w:customStyle="1" w:styleId="AS-H2Char">
    <w:name w:val="AS-H2 Char"/>
    <w:basedOn w:val="DefaultParagraphFont"/>
    <w:link w:val="AS-H2"/>
    <w:rsid w:val="00A50B10"/>
    <w:rPr>
      <w:rFonts w:ascii="Times New Roman" w:hAnsi="Times New Roman" w:cs="Times New Roman"/>
      <w:b/>
      <w:caps/>
      <w:noProof/>
      <w:color w:val="000000"/>
      <w:sz w:val="26"/>
    </w:rPr>
  </w:style>
  <w:style w:type="paragraph" w:customStyle="1" w:styleId="AS-H3b">
    <w:name w:val="AS-H3b"/>
    <w:basedOn w:val="Normal"/>
    <w:link w:val="AS-H3bChar"/>
    <w:autoRedefine/>
    <w:rsid w:val="00A50B10"/>
    <w:pPr>
      <w:jc w:val="center"/>
    </w:pPr>
    <w:rPr>
      <w:rFonts w:cs="Times New Roman"/>
      <w:b/>
    </w:rPr>
  </w:style>
  <w:style w:type="character" w:customStyle="1" w:styleId="AS-H3bChar">
    <w:name w:val="AS-H3b Char"/>
    <w:basedOn w:val="AS-H3AChar"/>
    <w:link w:val="AS-H3b"/>
    <w:rsid w:val="00A50B10"/>
    <w:rPr>
      <w:rFonts w:ascii="Times New Roman" w:hAnsi="Times New Roman" w:cs="Times New Roman"/>
      <w:b/>
      <w:caps w:val="0"/>
      <w:noProof/>
    </w:rPr>
  </w:style>
  <w:style w:type="paragraph" w:customStyle="1" w:styleId="AS-P1">
    <w:name w:val="AS-P(1)"/>
    <w:basedOn w:val="Normal"/>
    <w:link w:val="AS-P1Char"/>
    <w:rsid w:val="00A50B10"/>
    <w:pPr>
      <w:suppressAutoHyphens/>
      <w:ind w:right="-7" w:firstLine="567"/>
      <w:jc w:val="both"/>
    </w:pPr>
    <w:rPr>
      <w:rFonts w:eastAsia="Times New Roman" w:cs="Times New Roman"/>
    </w:rPr>
  </w:style>
  <w:style w:type="paragraph" w:customStyle="1" w:styleId="AS-Pa">
    <w:name w:val="AS-P(a)"/>
    <w:basedOn w:val="AS-Pahang"/>
    <w:link w:val="AS-PaChar"/>
    <w:rsid w:val="00A50B10"/>
  </w:style>
  <w:style w:type="character" w:customStyle="1" w:styleId="AS-P1Char">
    <w:name w:val="AS-P(1) Char"/>
    <w:basedOn w:val="DefaultParagraphFont"/>
    <w:link w:val="AS-P1"/>
    <w:rsid w:val="00A50B10"/>
    <w:rPr>
      <w:rFonts w:ascii="Times New Roman" w:eastAsia="Times New Roman" w:hAnsi="Times New Roman" w:cs="Times New Roman"/>
      <w:noProof/>
    </w:rPr>
  </w:style>
  <w:style w:type="paragraph" w:customStyle="1" w:styleId="AS-Pi">
    <w:name w:val="AS-P(i)"/>
    <w:basedOn w:val="Normal"/>
    <w:link w:val="AS-PiChar"/>
    <w:rsid w:val="00A50B1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50B10"/>
    <w:rPr>
      <w:rFonts w:ascii="Times New Roman" w:eastAsia="Times New Roman" w:hAnsi="Times New Roman" w:cs="Times New Roman"/>
      <w:noProof/>
    </w:rPr>
  </w:style>
  <w:style w:type="character" w:customStyle="1" w:styleId="AS-PiChar">
    <w:name w:val="AS-P(i) Char"/>
    <w:basedOn w:val="DefaultParagraphFont"/>
    <w:link w:val="AS-Pi"/>
    <w:rsid w:val="00A50B10"/>
    <w:rPr>
      <w:rFonts w:ascii="Times New Roman" w:eastAsia="Times New Roman" w:hAnsi="Times New Roman" w:cs="Times New Roman"/>
      <w:noProof/>
    </w:rPr>
  </w:style>
  <w:style w:type="paragraph" w:customStyle="1" w:styleId="AS-Paa">
    <w:name w:val="AS-P(aa)"/>
    <w:basedOn w:val="Normal"/>
    <w:link w:val="AS-PaaChar"/>
    <w:rsid w:val="00A50B10"/>
    <w:pPr>
      <w:suppressAutoHyphens/>
      <w:ind w:left="2267" w:right="-7" w:hanging="566"/>
      <w:jc w:val="both"/>
    </w:pPr>
    <w:rPr>
      <w:rFonts w:eastAsia="Times New Roman" w:cs="Times New Roman"/>
    </w:rPr>
  </w:style>
  <w:style w:type="paragraph" w:customStyle="1" w:styleId="AS-P-Amend">
    <w:name w:val="AS-P-Amend"/>
    <w:link w:val="AS-P-AmendChar"/>
    <w:rsid w:val="00A50B1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50B10"/>
    <w:rPr>
      <w:rFonts w:ascii="Times New Roman" w:eastAsia="Times New Roman" w:hAnsi="Times New Roman" w:cs="Times New Roman"/>
      <w:noProof/>
    </w:rPr>
  </w:style>
  <w:style w:type="character" w:customStyle="1" w:styleId="AS-P-AmendChar">
    <w:name w:val="AS-P-Amend Char"/>
    <w:basedOn w:val="AS-P0Char"/>
    <w:link w:val="AS-P-Amend"/>
    <w:rsid w:val="00A50B10"/>
    <w:rPr>
      <w:rFonts w:ascii="Arial" w:eastAsia="Times New Roman" w:hAnsi="Arial" w:cs="Arial"/>
      <w:b/>
      <w:noProof/>
      <w:color w:val="00B050"/>
      <w:sz w:val="18"/>
      <w:szCs w:val="18"/>
    </w:rPr>
  </w:style>
  <w:style w:type="paragraph" w:customStyle="1" w:styleId="AS-H1b">
    <w:name w:val="AS-H1b"/>
    <w:basedOn w:val="Normal"/>
    <w:link w:val="AS-H1bChar"/>
    <w:rsid w:val="00A50B10"/>
    <w:pPr>
      <w:jc w:val="center"/>
    </w:pPr>
    <w:rPr>
      <w:rFonts w:ascii="Arial" w:hAnsi="Arial" w:cs="Arial"/>
      <w:b/>
      <w:color w:val="000000"/>
      <w:sz w:val="24"/>
      <w:szCs w:val="24"/>
    </w:rPr>
  </w:style>
  <w:style w:type="character" w:customStyle="1" w:styleId="AS-H1bChar">
    <w:name w:val="AS-H1b Char"/>
    <w:basedOn w:val="AS-H2aChar"/>
    <w:link w:val="AS-H1b"/>
    <w:rsid w:val="00A50B10"/>
    <w:rPr>
      <w:rFonts w:ascii="Arial" w:hAnsi="Arial" w:cs="Arial"/>
      <w:b/>
      <w:noProof/>
      <w:color w:val="000000"/>
      <w:sz w:val="24"/>
      <w:szCs w:val="24"/>
    </w:rPr>
  </w:style>
  <w:style w:type="paragraph" w:customStyle="1" w:styleId="REG-H1b">
    <w:name w:val="REG-H1b"/>
    <w:link w:val="REG-H1bChar"/>
    <w:qFormat/>
    <w:rsid w:val="00A50B1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50B10"/>
    <w:rPr>
      <w:rFonts w:ascii="Times New Roman" w:eastAsia="Times New Roman" w:hAnsi="Times New Roman"/>
      <w:b/>
      <w:bCs/>
      <w:noProof/>
    </w:rPr>
  </w:style>
  <w:style w:type="paragraph" w:customStyle="1" w:styleId="TableParagraph">
    <w:name w:val="Table Paragraph"/>
    <w:basedOn w:val="Normal"/>
    <w:uiPriority w:val="1"/>
    <w:rsid w:val="00A50B10"/>
  </w:style>
  <w:style w:type="table" w:customStyle="1" w:styleId="TableGrid0">
    <w:name w:val="TableGrid"/>
    <w:rsid w:val="00A50B1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50B1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50B10"/>
    <w:rPr>
      <w:rFonts w:ascii="Arial" w:hAnsi="Arial"/>
      <w:b/>
      <w:noProof/>
      <w:sz w:val="28"/>
      <w:szCs w:val="24"/>
    </w:rPr>
  </w:style>
  <w:style w:type="character" w:customStyle="1" w:styleId="REG-H1cChar">
    <w:name w:val="REG-H1c Char"/>
    <w:basedOn w:val="REG-H1bChar"/>
    <w:link w:val="REG-H1c"/>
    <w:rsid w:val="00A50B10"/>
    <w:rPr>
      <w:rFonts w:ascii="Arial" w:hAnsi="Arial"/>
      <w:b/>
      <w:noProof/>
      <w:sz w:val="24"/>
      <w:szCs w:val="24"/>
    </w:rPr>
  </w:style>
  <w:style w:type="paragraph" w:customStyle="1" w:styleId="REG-PHA">
    <w:name w:val="REG-PH(A)"/>
    <w:link w:val="REG-PHAChar"/>
    <w:qFormat/>
    <w:rsid w:val="00A50B10"/>
    <w:pPr>
      <w:spacing w:after="0" w:line="240" w:lineRule="auto"/>
      <w:jc w:val="center"/>
    </w:pPr>
    <w:rPr>
      <w:rFonts w:ascii="Arial" w:hAnsi="Arial"/>
      <w:b/>
      <w:caps/>
      <w:noProof/>
      <w:sz w:val="16"/>
      <w:szCs w:val="24"/>
    </w:rPr>
  </w:style>
  <w:style w:type="paragraph" w:customStyle="1" w:styleId="REG-PHb">
    <w:name w:val="REG-PH(b)"/>
    <w:link w:val="REG-PHbChar"/>
    <w:qFormat/>
    <w:rsid w:val="00A50B1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50B10"/>
    <w:rPr>
      <w:rFonts w:ascii="Arial" w:hAnsi="Arial"/>
      <w:b/>
      <w:caps/>
      <w:noProof/>
      <w:sz w:val="16"/>
      <w:szCs w:val="24"/>
    </w:rPr>
  </w:style>
  <w:style w:type="character" w:customStyle="1" w:styleId="REG-PHbChar">
    <w:name w:val="REG-PH(b) Char"/>
    <w:basedOn w:val="REG-H1bChar"/>
    <w:link w:val="REG-PHb"/>
    <w:rsid w:val="00A50B10"/>
    <w:rPr>
      <w:rFonts w:ascii="Arial" w:hAnsi="Arial" w:cs="Arial"/>
      <w:b/>
      <w:noProof/>
      <w:sz w:val="16"/>
      <w:szCs w:val="16"/>
    </w:rPr>
  </w:style>
  <w:style w:type="character" w:styleId="Hyperlink">
    <w:name w:val="Hyperlink"/>
    <w:uiPriority w:val="99"/>
    <w:qFormat/>
    <w:rsid w:val="00DE361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E361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6/35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80B8C-7630-4B09-86DB-9519BAB2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59</TotalTime>
  <Pages>5</Pages>
  <Words>1383</Words>
  <Characters>6874</Characters>
  <Application>Microsoft Office Word</Application>
  <DocSecurity>0</DocSecurity>
  <Lines>185</Lines>
  <Paragraphs>73</Paragraphs>
  <ScaleCrop>false</ScaleCrop>
  <HeadingPairs>
    <vt:vector size="2" baseType="variant">
      <vt:variant>
        <vt:lpstr>Title</vt:lpstr>
      </vt:variant>
      <vt:variant>
        <vt:i4>1</vt:i4>
      </vt:variant>
    </vt:vector>
  </HeadingPairs>
  <TitlesOfParts>
    <vt:vector size="1" baseType="lpstr">
      <vt:lpstr>Health Professions Act 16 of 2024-Regulations 2006-051</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2006-051</dc:title>
  <dc:creator>LAC</dc:creator>
  <cp:lastModifiedBy>Dianne Hubbard</cp:lastModifiedBy>
  <cp:revision>33</cp:revision>
  <dcterms:created xsi:type="dcterms:W3CDTF">2015-08-04T13:43:00Z</dcterms:created>
  <dcterms:modified xsi:type="dcterms:W3CDTF">2025-04-01T07:05:00Z</dcterms:modified>
</cp:coreProperties>
</file>